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i w:val="false"/>
          <w:i w:val="false"/>
          <w:iCs w:val="false"/>
          <w:sz w:val="26"/>
          <w:szCs w:val="26"/>
        </w:rPr>
      </w:pPr>
      <w:r>
        <w:rPr>
          <w:rFonts w:eastAsia="Calibri"/>
          <w:b/>
          <w:i w:val="false"/>
          <w:iCs w:val="false"/>
          <w:sz w:val="26"/>
          <w:szCs w:val="26"/>
        </w:rPr>
        <w:t xml:space="preserve">Технические требования </w:t>
      </w:r>
    </w:p>
    <w:p>
      <w:pPr>
        <w:pStyle w:val="Normal"/>
        <w:bidi w:val="0"/>
        <w:jc w:val="center"/>
        <w:rPr>
          <w:b/>
          <w:bCs/>
          <w:sz w:val="26"/>
          <w:szCs w:val="26"/>
        </w:rPr>
      </w:pPr>
      <w:r>
        <w:rPr>
          <w:b/>
          <w:bCs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ОКПД2 43.21.10 Мероприятия по подключению новых потребителей для нужд филиала  "Хабаровские электрические сети" на территории СП «ЦЭС» СРЭС</w:t>
      </w:r>
    </w:p>
    <w:p>
      <w:pPr>
        <w:pStyle w:val="Normal"/>
        <w:bidi w:val="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jc w:val="center"/>
        <w:rPr/>
      </w:pPr>
      <w:r>
        <w:rPr>
          <w:rFonts w:eastAsia="Calibri"/>
          <w:b/>
          <w:i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</w:rPr>
        <w:t>(ГКПЗ 2025 года. Закупка 93101-КС ПИР СМР-2025-ДРСК-ХЭС)</w:t>
      </w:r>
    </w:p>
    <w:p>
      <w:pPr>
        <w:pStyle w:val="Normal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color w:val="auto"/>
        </w:rPr>
      </w:pPr>
      <w:r>
        <w:rPr>
          <w:b/>
          <w:color w:val="000000"/>
        </w:rPr>
        <w:t>СОДЕРЖАНИЕ</w:t>
      </w:r>
    </w:p>
    <w:p>
      <w:pPr>
        <w:pStyle w:val="Normal"/>
        <w:jc w:val="center"/>
        <w:rPr>
          <w:color w:val="auto"/>
        </w:rPr>
      </w:pPr>
      <w:r>
        <w:rPr>
          <w:color w:val="auto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rPr/>
          </w:pPr>
          <w:hyperlink w:anchor="_Toc54646395">
            <w:r>
              <w:rPr>
                <w:rStyle w:val="Hyperlink"/>
                <w:vanish w:val="false"/>
                <w:color w:val="000000"/>
              </w:rPr>
              <w:t>1.Общие сведения</w:t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_Toc54646395 \h</w:instrText>
            </w:r>
            <w:r>
              <w:rPr>
                <w:webHidden/>
              </w:rPr>
              <w:fldChar w:fldCharType="separate"/>
            </w:r>
            <w:r>
              <w:rPr>
                <w:rStyle w:val="Hyperlink"/>
                <w:vanish/>
              </w:rPr>
              <w:fldChar w:fldCharType="begin"/>
            </w:r>
            <w:r>
              <w:rPr>
                <w:webHidden/>
              </w:rPr>
              <w:fldChar w:fldCharType="end"/>
            </w:r>
            <w:r>
              <w:rPr>
                <w:rStyle w:val="Hyperlink"/>
                <w:vanish/>
              </w:rPr>
              <w:instrText xml:space="preserve"> PAGEREF _Toc54646395 \h </w:instrText>
            </w:r>
            <w:r>
              <w:rPr>
                <w:rStyle w:val="Hyperlink"/>
                <w:vanish/>
              </w:rPr>
              <w:fldChar w:fldCharType="separate"/>
            </w:r>
            <w:r>
              <w:rPr>
                <w:rStyle w:val="Hyperlink"/>
                <w:vanish/>
              </w:rPr>
              <w:t>3</w:t>
            </w:r>
            <w:r>
              <w:rPr>
                <w:rStyle w:val="Hyperlink"/>
                <w:vanish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1.1.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Обозначения и сокращения...............................................................................................................................4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1.2.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Наименование закупаемой продукции............................................................................................................4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color w:val="000000"/>
              <w:sz w:val="24"/>
              <w:szCs w:val="24"/>
            </w:rPr>
          </w:pPr>
          <w:r>
            <w:rPr>
              <w:rStyle w:val="Style14"/>
              <w:iCs/>
              <w:vanish w:val="false"/>
              <w:color w:val="000000"/>
            </w:rPr>
            <w:t>1.3.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Цель выполнения работ</w:t>
          </w:r>
          <w:r>
            <w:rPr>
              <w:rStyle w:val="Style14"/>
              <w:vanish/>
              <w:color w:val="000000"/>
            </w:rPr>
            <w:t>.....................0000 ...............................................................................................................4...............................................................................................................................4</w:t>
            <w:tab/>
          </w:r>
          <w:r>
            <w:rPr>
              <w:rStyle w:val="Style14"/>
              <w:vanish/>
              <w:color w:val="000000"/>
            </w:rPr>
            <w:fldChar w:fldCharType="begin"/>
          </w:r>
          <w:r>
            <w:rPr>
              <w:rStyle w:val="Style14"/>
              <w:vanish/>
              <w:color w:val="000000"/>
            </w:rPr>
            <w:instrText xml:space="preserve"> PAGEREF _Toc54646409 \h </w:instrText>
          </w:r>
          <w:r>
            <w:rPr>
              <w:rStyle w:val="Style14"/>
              <w:vanish/>
              <w:color w:val="000000"/>
            </w:rPr>
            <w:fldChar w:fldCharType="separate"/>
          </w:r>
          <w:r>
            <w:rPr>
              <w:rStyle w:val="Style14"/>
              <w:vanish/>
              <w:color w:val="000000"/>
            </w:rPr>
            <w:t>Ошибка: источник перекрёстной ссылки не найден</w:t>
          </w:r>
          <w:r>
            <w:rPr>
              <w:rStyle w:val="Style14"/>
              <w:vanish/>
              <w:color w:val="000000"/>
            </w:rPr>
            <w:fldChar w:fldCharType="end"/>
          </w:r>
          <w:r>
            <w:rPr>
              <w:rStyle w:val="Style14"/>
              <w:vanish/>
              <w:color w:val="000000"/>
            </w:rPr>
            <w:t xml:space="preserve">...... </w:t>
          </w:r>
          <w:r>
            <w:rPr/>
            <w:t>....................................................................................................................................4</w:t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>2.</w:t>
          </w:r>
          <w:r>
            <w:rPr>
              <w:rStyle w:val="Style14"/>
              <w:iCs/>
              <w:color w:val="000000"/>
            </w:rPr>
            <w:t>Требования к продукции</w:t>
          </w:r>
          <w:r>
            <w:rPr>
              <w:vanish/>
            </w:rPr>
            <w:fldChar w:fldCharType="begin"/>
          </w:r>
          <w:r>
            <w:rPr>
              <w:vanish/>
            </w:rPr>
            <w:instrText xml:space="preserve"> PAGEREF _Toc54646403 \h </w:instrText>
          </w:r>
          <w:r>
            <w:rPr>
              <w:vanish/>
            </w:rPr>
            <w:fldChar w:fldCharType="separate"/>
          </w:r>
          <w:r>
            <w:rPr>
              <w:vanish/>
            </w:rPr>
            <w:t>Ошибка: источник перекрёстной ссылки не найден</w:t>
          </w:r>
          <w:r>
            <w:rPr>
              <w:vanish/>
            </w:rPr>
            <w:fldChar w:fldCharType="end"/>
          </w:r>
          <w:r>
            <w:rPr>
              <w:vanish/>
            </w:rPr>
            <w:t xml:space="preserve">          </w:t>
            <w:tab/>
            <w:t>Ошибка: источник перекрёстной ссылки не найден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2.1.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объемам и срокам выполнения работ......................................................................................4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vanish w:val="false"/>
              <w:color w:val="000000"/>
            </w:rPr>
            <w:t>2.1.1.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видам и объемам работ..............................................................................................................5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sz w:val="22"/>
              <w:szCs w:val="22"/>
            </w:rPr>
          </w:pPr>
          <w:r>
            <w:rPr>
              <w:color w:val="000000"/>
            </w:rPr>
            <w:t>2.1.2.        Требования к срокам выполнения работ…………………………………………...………………………..</w:t>
          </w:r>
          <w:r>
            <w:rPr>
              <w:color w:val="000000"/>
              <w:sz w:val="22"/>
              <w:szCs w:val="22"/>
            </w:rPr>
            <w:t>5</w:t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 xml:space="preserve">Таблица </w:t>
          </w:r>
          <w:r>
            <w:rPr>
              <w:rStyle w:val="Style14"/>
              <w:color w:val="000000"/>
            </w:rPr>
            <w:t xml:space="preserve">1. Требования по срокам выполнения работ </w:t>
            <w:tab/>
          </w:r>
          <w:r>
            <w:rPr>
              <w:color w:val="000000"/>
            </w:rPr>
            <w:t>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2.2.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качеству работ</w:t>
            <w:tab/>
          </w:r>
          <w:r>
            <w:rPr>
              <w:color w:val="000000"/>
              <w:sz w:val="24"/>
              <w:szCs w:val="24"/>
            </w:rPr>
            <w:t>6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vanish w:val="false"/>
              <w:color w:val="000000"/>
            </w:rPr>
            <w:t>2.1.2.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срокам выполнения работ</w:t>
            <w:tab/>
          </w:r>
          <w:r>
            <w:rPr>
              <w:vanish/>
            </w:rPr>
            <w:fldChar w:fldCharType="begin"/>
          </w:r>
          <w:r>
            <w:rPr>
              <w:vanish/>
            </w:rPr>
            <w:instrText xml:space="preserve"> PAGEREF _Toc54646407 \h </w:instrText>
          </w:r>
          <w:r>
            <w:rPr>
              <w:vanish/>
            </w:rPr>
            <w:fldChar w:fldCharType="separate"/>
          </w:r>
          <w:r>
            <w:rPr>
              <w:vanish/>
            </w:rPr>
            <w:t>Ошибка: источник перекрёстной ссылки не найден</w:t>
          </w:r>
          <w:r>
            <w:rPr>
              <w:vanish/>
            </w:rPr>
            <w:fldChar w:fldCharType="end"/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 xml:space="preserve">Таблица </w:t>
          </w:r>
          <w:r>
            <w:rPr>
              <w:rStyle w:val="Style14"/>
              <w:color w:val="000000"/>
            </w:rPr>
            <w:t xml:space="preserve">2. Требования к качеству </w:t>
            <w:tab/>
          </w:r>
          <w:r>
            <w:rPr>
              <w:color w:val="000000"/>
            </w:rPr>
            <w:t>6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2.2.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качеству работ</w:t>
            <w:tab/>
          </w:r>
          <w:r>
            <w:rPr>
              <w:vanish/>
            </w:rPr>
            <w:fldChar w:fldCharType="begin"/>
          </w:r>
          <w:r>
            <w:rPr>
              <w:vanish/>
            </w:rPr>
            <w:instrText xml:space="preserve"> PAGEREF _Toc54646409 \h </w:instrText>
          </w:r>
          <w:r>
            <w:rPr>
              <w:vanish/>
            </w:rPr>
            <w:fldChar w:fldCharType="separate"/>
          </w:r>
          <w:r>
            <w:rPr>
              <w:vanish/>
            </w:rPr>
            <w:t>Ошибка: источник перекрёстной ссылки не найден</w:t>
          </w:r>
          <w:r>
            <w:rPr>
              <w:vanish/>
            </w:rPr>
            <w:fldChar w:fldCharType="end"/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 xml:space="preserve"> </w:t>
          </w:r>
          <w:r>
            <w:rPr>
              <w:rStyle w:val="Style14"/>
              <w:color w:val="000000"/>
            </w:rPr>
            <w:t xml:space="preserve">3. Требования к документации по ценообразованию на этапе заключения договора </w:t>
            <w:tab/>
          </w:r>
          <w:r>
            <w:rPr>
              <w:color w:val="000000"/>
            </w:rPr>
            <w:t>15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ind w:left="561" w:hanging="0"/>
            <w:rPr/>
          </w:pPr>
          <w:r>
            <w:rPr>
              <w:iCs/>
              <w:color w:val="000000"/>
            </w:rPr>
            <w:t>3</w:t>
          </w:r>
          <w:r>
            <w:rPr>
              <w:rStyle w:val="Style14"/>
              <w:iCs/>
              <w:vanish w:val="false"/>
              <w:color w:val="000000"/>
            </w:rPr>
            <w:t>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составлению сметной документации(при заключении договора)</w:t>
            <w:tab/>
          </w:r>
          <w:r>
            <w:rPr>
              <w:color w:val="000000"/>
            </w:rPr>
            <w:t>15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ind w:left="561" w:hanging="0"/>
            <w:rPr/>
          </w:pPr>
          <w:r>
            <w:rPr/>
          </w:r>
        </w:p>
        <w:p>
          <w:pPr>
            <w:pStyle w:val="Normal"/>
            <w:jc w:val="both"/>
            <w:rPr>
              <w:color w:val="auto"/>
            </w:rPr>
          </w:pPr>
          <w:r>
            <w:rPr>
              <w:rFonts w:eastAsia="" w:eastAsiaTheme="minorEastAsia"/>
              <w:b/>
              <w:color w:val="000000"/>
              <w:sz w:val="24"/>
              <w:szCs w:val="24"/>
            </w:rPr>
            <w:t>4. Перечень Давальческих материалов и запасных частей, Давальческого оборудования будет указан в техническом требовании при заключения дополнительного соглашения…………………………………………………………………………………………...15</w:t>
          </w:r>
        </w:p>
        <w:p>
          <w:pPr>
            <w:pStyle w:val="Normal"/>
            <w:jc w:val="both"/>
            <w:rPr>
              <w:color w:val="auto"/>
            </w:rPr>
          </w:pPr>
          <w:r>
            <w:rPr>
              <w:rFonts w:eastAsia="" w:eastAsiaTheme="minorEastAsia"/>
              <w:b/>
              <w:color w:val="000000"/>
              <w:sz w:val="24"/>
              <w:szCs w:val="24"/>
            </w:rPr>
            <w:t xml:space="preserve">5. </w:t>
          </w:r>
          <w:r>
            <w:rPr>
              <w:rFonts w:eastAsia="Times New Roman" w:cs="Times New Roman"/>
              <w:b/>
              <w:bCs/>
              <w:color w:val="000000"/>
              <w:sz w:val="26"/>
              <w:szCs w:val="26"/>
              <w:shd w:fill="auto" w:val="clear"/>
              <w:lang w:val="x-none"/>
            </w:rPr>
            <w:t>Требования к документации по ценообразованию на этапе исполнения договора....................................................................................................................................15</w:t>
          </w:r>
        </w:p>
        <w:p>
          <w:pPr>
            <w:pStyle w:val="TOC1"/>
            <w:rPr/>
          </w:pPr>
          <w:hyperlink w:anchor="_Toc54646413">
            <w:r>
              <w:rPr>
                <w:rStyle w:val="Style14"/>
                <w:iCs/>
                <w:vanish w:val="false"/>
                <w:color w:val="000000"/>
                <w:shd w:fill="auto" w:val="clear"/>
              </w:rPr>
              <w:t>Приложения</w:t>
            </w:r>
            <w:r>
              <w:rPr>
                <w:rStyle w:val="Style14"/>
                <w:vanish/>
                <w:color w:val="000000"/>
                <w:shd w:fill="auto" w:val="clear"/>
              </w:rPr>
              <w:tab/>
            </w:r>
          </w:hyperlink>
          <w:r>
            <w:rPr>
              <w:vanish/>
              <w:color w:val="000000"/>
              <w:shd w:fill="auto" w:val="clear"/>
            </w:rPr>
            <w:t>15</w:t>
          </w:r>
        </w:p>
        <w:p>
          <w:pPr>
            <w:pStyle w:val="TOC1"/>
            <w:rPr>
              <w:highlight w:val="none"/>
              <w:shd w:fill="auto" w:val="clear"/>
            </w:rPr>
          </w:pPr>
          <w:r>
            <w:rPr>
              <w:rFonts w:eastAsia="" w:cs="" w:ascii="Calibri" w:hAnsi="Calibri" w:asciiTheme="minorHAnsi" w:cstheme="minorBidi" w:eastAsiaTheme="minorEastAsia" w:hAnsiTheme="minorHAnsi"/>
              <w:color w:val="000000"/>
              <w:shd w:fill="auto" w:val="clear"/>
            </w:rPr>
            <w:t xml:space="preserve"> </w:t>
          </w:r>
        </w:p>
        <w:p>
          <w:pPr>
            <w:pStyle w:val="Heading2"/>
            <w:tabs>
              <w:tab w:val="left" w:pos="6609" w:leader="none"/>
            </w:tabs>
            <w:ind w:left="0" w:hanging="0"/>
            <w:rPr>
              <w:highlight w:val="none"/>
              <w:shd w:fill="auto" w:val="clear"/>
            </w:rPr>
          </w:pPr>
          <w:r>
            <w:rPr>
              <w:rFonts w:eastAsia="Times New Roman" w:cs="Calibri Light" w:cstheme="majorHAnsi"/>
              <w:b w:val="false"/>
              <w:i/>
              <w:color w:val="000000"/>
              <w:shd w:fill="auto" w:val="clear"/>
              <w:lang w:val="ru-RU" w:eastAsia="ru-RU"/>
            </w:rPr>
            <w:tab/>
          </w:r>
        </w:p>
      </w:sdtContent>
    </w:sdt>
    <w:p>
      <w:pPr>
        <w:pStyle w:val="Normal"/>
        <w:keepNext w:val="true"/>
        <w:keepLines/>
        <w:jc w:val="center"/>
        <w:rPr>
          <w:rFonts w:eastAsia="Calibri"/>
          <w:b/>
          <w:i/>
          <w:i/>
          <w:color w:val="000000"/>
          <w:sz w:val="24"/>
          <w:szCs w:val="24"/>
          <w:highlight w:val="none"/>
          <w:shd w:fill="auto" w:val="clear"/>
        </w:rPr>
      </w:pPr>
      <w:r>
        <w:rPr>
          <w:rFonts w:eastAsia="Calibri"/>
          <w:b/>
          <w:i/>
          <w:color w:val="000000"/>
          <w:sz w:val="24"/>
          <w:szCs w:val="24"/>
          <w:shd w:fill="auto" w:val="clear"/>
        </w:rPr>
      </w:r>
      <w:bookmarkStart w:id="0" w:name="_GoBack"/>
      <w:bookmarkStart w:id="1" w:name="_GoBack_Копия_1"/>
      <w:bookmarkStart w:id="2" w:name="_GoBack"/>
      <w:bookmarkStart w:id="3" w:name="_GoBack_Копия_1"/>
      <w:bookmarkEnd w:id="2"/>
      <w:bookmarkEnd w:id="3"/>
      <w:r>
        <w:br w:type="page"/>
      </w:r>
    </w:p>
    <w:p>
      <w:pPr>
        <w:pStyle w:val="Heading1"/>
        <w:keepLines/>
        <w:numPr>
          <w:ilvl w:val="0"/>
          <w:numId w:val="0"/>
        </w:numPr>
        <w:ind w:left="357" w:hanging="0"/>
        <w:jc w:val="center"/>
        <w:rPr>
          <w:caps/>
          <w:lang w:val="ru-RU"/>
        </w:rPr>
      </w:pPr>
      <w:bookmarkStart w:id="4" w:name="_Toc51339692"/>
      <w:bookmarkStart w:id="5" w:name="_Toc54646395"/>
      <w:bookmarkEnd w:id="4"/>
      <w:bookmarkEnd w:id="5"/>
      <w:r>
        <w:rPr>
          <w:lang w:val="ru-RU"/>
        </w:rPr>
        <w:t>Общие сведения</w:t>
      </w:r>
    </w:p>
    <w:p>
      <w:pPr>
        <w:pStyle w:val="Heading4"/>
        <w:numPr>
          <w:ilvl w:val="1"/>
          <w:numId w:val="1"/>
        </w:numPr>
        <w:rPr/>
      </w:pPr>
      <w:bookmarkStart w:id="6" w:name="_Toc54646396"/>
      <w:bookmarkStart w:id="7" w:name="_Toc46743505"/>
      <w:bookmarkEnd w:id="6"/>
      <w:bookmarkEnd w:id="7"/>
      <w:r>
        <w:rPr/>
        <w:t>Обозначения и сокращения</w:t>
      </w:r>
    </w:p>
    <w:p>
      <w:pPr>
        <w:pStyle w:val="Normal"/>
        <w:rPr>
          <w:rStyle w:val="Style8"/>
        </w:rPr>
      </w:pPr>
      <w:r>
        <w:rPr/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Воздушная линия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ТП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Трансформаторная подстанция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АО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Акционерное общество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ООО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Общество с ограниченной ответственностью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Проект производства работ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ЛЭП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Линия электропередачи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Правила устройства электроустановок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ПТЭ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Правила технической эксплуатации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Свод правил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Строительные нормы и правила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Руководящие документы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РЭС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Районные электрические сети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СанПиН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Санитарные правила и нормы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Саморегулируемые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ТТ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ТЗ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задание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условия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ЭПУ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Энерго-принимающее устройства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1"/>
        </w:numPr>
        <w:rPr/>
      </w:pPr>
      <w:bookmarkStart w:id="8" w:name="_Toc54646397"/>
      <w:bookmarkStart w:id="9" w:name="_Toc46743506"/>
      <w:bookmarkEnd w:id="8"/>
      <w:bookmarkEnd w:id="9"/>
      <w:r>
        <w:rPr/>
        <w:t>Наименование закупаемой продукции</w:t>
      </w:r>
    </w:p>
    <w:p>
      <w:pPr>
        <w:pStyle w:val="Normal"/>
        <w:bidi w:val="0"/>
        <w:jc w:val="left"/>
        <w:rPr/>
      </w:pPr>
      <w:r>
        <w:rPr>
          <w:b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ОКПД2 43.21.10 Мероприятия по подключению новых потребителей для нужд филиала  "Хабаровские электрические сети" на территории СП «ЦЭС» СРЭС.</w:t>
      </w:r>
    </w:p>
    <w:p>
      <w:pPr>
        <w:pStyle w:val="Normal"/>
        <w:widowControl w:val="false"/>
        <w:bidi w:val="0"/>
        <w:jc w:val="left"/>
        <w:rPr>
          <w:i w:val="false"/>
          <w:i w:val="false"/>
          <w:iCs w:val="false"/>
          <w:sz w:val="26"/>
          <w:szCs w:val="26"/>
        </w:rPr>
      </w:pPr>
      <w:r>
        <w:rPr>
          <w:rFonts w:eastAsia="Calibri" w:cs="" w:ascii="Liberation Serif" w:hAnsi="Liberation Serif" w:cstheme="minorBidi" w:eastAsiaTheme="minorHAnsi"/>
          <w:b/>
          <w:bCs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Заказчик: </w:t>
      </w:r>
      <w:r>
        <w:rPr>
          <w:rFonts w:eastAsia="Calibri" w:cs="" w:ascii="Liberation Serif" w:hAnsi="Liberation Serif" w:cstheme="minorBidi" w:eastAsiaTheme="minorHAnsi"/>
          <w:b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 </w:t>
      </w:r>
      <w:r>
        <w:rPr>
          <w:rFonts w:eastAsia="Calibri" w:cs="Times New Roman" w:eastAsiaTheme="minorHAnsi"/>
          <w:b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Акционерное общество «ДРСК» филиал «Хабаровские электрические сети» (сокращенное наименование: АО «ДРСК» «ХЭС»);</w:t>
      </w:r>
    </w:p>
    <w:p>
      <w:pPr>
        <w:pStyle w:val="Normal"/>
        <w:widowControl w:val="false"/>
        <w:bidi w:val="0"/>
        <w:jc w:val="left"/>
        <w:rPr>
          <w:i w:val="false"/>
          <w:i w:val="false"/>
          <w:iCs w:val="false"/>
          <w:sz w:val="26"/>
          <w:szCs w:val="26"/>
        </w:rPr>
      </w:pPr>
      <w:r>
        <w:rPr>
          <w:rFonts w:eastAsia="Calibri" w:cs="Times New Roman" w:eastAsiaTheme="minorHAnsi"/>
          <w:b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Адрес (Место нахождения): Хабаровский край, г. Хабаровск, ул. Промышленная 13.</w:t>
      </w:r>
      <w:bookmarkStart w:id="10" w:name="_Toc54646398"/>
    </w:p>
    <w:p>
      <w:pPr>
        <w:pStyle w:val="Heading4"/>
        <w:numPr>
          <w:ilvl w:val="1"/>
          <w:numId w:val="1"/>
        </w:numPr>
        <w:rPr/>
      </w:pPr>
      <w:bookmarkStart w:id="11" w:name="_Toc46743507"/>
      <w:r>
        <w:rPr/>
        <w:t xml:space="preserve">Цель </w:t>
      </w:r>
      <w:bookmarkEnd w:id="11"/>
      <w:r>
        <w:rPr>
          <w:lang w:val="ru-RU"/>
        </w:rPr>
        <w:t>выполнения работ</w:t>
      </w:r>
      <w:bookmarkEnd w:id="10"/>
      <w:r>
        <w:rPr/>
        <w:t xml:space="preserve"> </w:t>
      </w:r>
    </w:p>
    <w:p>
      <w:pPr>
        <w:pStyle w:val="Normal"/>
        <w:tabs>
          <w:tab w:val="clear" w:pos="708"/>
          <w:tab w:val="left" w:pos="1134" w:leader="none"/>
        </w:tabs>
        <w:ind w:firstLine="709"/>
        <w:jc w:val="both"/>
        <w:rPr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 xml:space="preserve">1.3.1. </w:t>
      </w:r>
      <w:r>
        <w:rPr>
          <w:rFonts w:ascii="Liberation Serif" w:hAnsi="Liberation Serif"/>
          <w:color w:val="000000"/>
          <w:sz w:val="26"/>
          <w:szCs w:val="26"/>
        </w:rPr>
        <w:t>Настоящие Технические требования составлены в целях выполнения мероприятий по технологическому присоединению энергопринимающих устройств заявителей к электрическим сетям Заказчика, путём строительства (реконструкции) объектов электросетевого хозяйства на территории Хабаровский край.</w:t>
      </w:r>
    </w:p>
    <w:p>
      <w:pPr>
        <w:pStyle w:val="Normal"/>
        <w:tabs>
          <w:tab w:val="clear" w:pos="708"/>
          <w:tab w:val="left" w:pos="1134" w:leader="none"/>
        </w:tabs>
        <w:ind w:firstLine="709"/>
        <w:jc w:val="both"/>
        <w:rPr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 xml:space="preserve">1.3.2 </w:t>
      </w:r>
      <w:r>
        <w:rPr>
          <w:rFonts w:ascii="Liberation Serif" w:hAnsi="Liberation Serif"/>
          <w:color w:val="000000"/>
          <w:sz w:val="26"/>
          <w:szCs w:val="26"/>
        </w:rPr>
        <w:t>Заказчик планирует заключить с победителем закупки рамочный договор на выполнение строительно-монтажных работ по строительству (реконструкции) электрических сетей напряжением до 10 кВ для нужд филиала АО «ДРСК» «Хабаровские ЭС» (далее – подрядные работы).</w:t>
      </w:r>
    </w:p>
    <w:p>
      <w:pPr>
        <w:pStyle w:val="Normal"/>
        <w:tabs>
          <w:tab w:val="clear" w:pos="708"/>
          <w:tab w:val="left" w:pos="1695" w:leader="none"/>
        </w:tabs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 xml:space="preserve">1.3.3. </w:t>
      </w:r>
      <w:r>
        <w:rPr>
          <w:rFonts w:ascii="Liberation Serif" w:hAnsi="Liberation Serif"/>
          <w:color w:val="000000"/>
          <w:sz w:val="26"/>
          <w:szCs w:val="26"/>
        </w:rPr>
        <w:t>Планируемый объём выполняемых работ составляет не более 34 500 000,00 руб. без учета НДС на весь срок действия договора.</w:t>
      </w:r>
    </w:p>
    <w:p>
      <w:pPr>
        <w:pStyle w:val="Normal"/>
        <w:tabs>
          <w:tab w:val="clear" w:pos="708"/>
          <w:tab w:val="left" w:pos="1695" w:leader="none"/>
        </w:tabs>
        <w:ind w:firstLine="709"/>
        <w:jc w:val="both"/>
        <w:rPr>
          <w:highlight w:val="yellow"/>
        </w:rPr>
      </w:pPr>
      <w:r>
        <w:rPr>
          <w:rFonts w:ascii="Liberation Serif" w:hAnsi="Liberation Serif"/>
          <w:color w:val="000000"/>
          <w:sz w:val="26"/>
          <w:szCs w:val="26"/>
        </w:rPr>
        <w:t xml:space="preserve">1.3.4. </w:t>
      </w:r>
      <w:r>
        <w:rPr>
          <w:rFonts w:ascii="Liberation Serif" w:hAnsi="Liberation Serif"/>
          <w:color w:val="000000"/>
          <w:sz w:val="26"/>
          <w:szCs w:val="26"/>
        </w:rPr>
        <w:t>Выполнение инвестиционной программы филиала АО «Дальневосточная распределительная сетевая компания» «Хабаровские электрические сети» на 2025 г.</w:t>
      </w:r>
    </w:p>
    <w:p>
      <w:pPr>
        <w:pStyle w:val="Normal"/>
        <w:tabs>
          <w:tab w:val="clear" w:pos="708"/>
          <w:tab w:val="left" w:pos="1134" w:leader="none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Heading1"/>
        <w:keepLines/>
        <w:numPr>
          <w:ilvl w:val="0"/>
          <w:numId w:val="1"/>
        </w:numPr>
        <w:ind w:left="357" w:hanging="357"/>
        <w:jc w:val="center"/>
        <w:rPr/>
      </w:pPr>
      <w:r>
        <w:rPr>
          <w:iCs/>
        </w:rPr>
        <w:t>Требования к продукции</w:t>
      </w:r>
    </w:p>
    <w:p>
      <w:pPr>
        <w:pStyle w:val="Heading4"/>
        <w:numPr>
          <w:ilvl w:val="1"/>
          <w:numId w:val="1"/>
        </w:numPr>
        <w:rPr/>
      </w:pPr>
      <w:bookmarkStart w:id="12" w:name="_Toc54646404"/>
      <w:r>
        <w:rPr/>
        <w:t xml:space="preserve">Требования к объемам и срокам </w:t>
      </w:r>
      <w:bookmarkEnd w:id="12"/>
      <w:r>
        <w:rPr>
          <w:lang w:val="ru-RU"/>
        </w:rPr>
        <w:t>выполнения работ</w:t>
      </w:r>
    </w:p>
    <w:p>
      <w:pPr>
        <w:pStyle w:val="Heading3"/>
        <w:numPr>
          <w:ilvl w:val="0"/>
          <w:numId w:val="0"/>
        </w:numPr>
        <w:ind w:left="-57" w:hanging="0"/>
        <w:rPr/>
      </w:pPr>
      <w:bookmarkStart w:id="13" w:name="_Toc54646405"/>
      <w:bookmarkEnd w:id="13"/>
      <w:r>
        <w:rPr>
          <w:lang w:val="ru-RU"/>
        </w:rPr>
        <w:t xml:space="preserve">2.1.1. </w:t>
      </w:r>
      <w:r>
        <w:rPr>
          <w:lang w:val="ru-RU"/>
        </w:rPr>
        <w:t>Требования к видам и объемам работ</w:t>
      </w:r>
    </w:p>
    <w:p>
      <w:pPr>
        <w:pStyle w:val="Normal"/>
        <w:keepLines/>
        <w:tabs>
          <w:tab w:val="clear" w:pos="708"/>
          <w:tab w:val="left" w:pos="1695" w:leader="none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color w:val="000000"/>
          <w:sz w:val="26"/>
          <w:szCs w:val="26"/>
        </w:rPr>
        <w:t xml:space="preserve">2.1.1.1. </w:t>
      </w:r>
      <w:r>
        <w:rPr>
          <w:rFonts w:ascii="Liberation Serif" w:hAnsi="Liberation Serif"/>
          <w:color w:val="000000"/>
          <w:sz w:val="26"/>
          <w:szCs w:val="26"/>
        </w:rPr>
        <w:t>Конкретные объёмы выполняемых работ определяются дополнительными соглашениями к заключенному договору (п. 1.3 настоящих Технических требований -   далее ТТ), оформляемыми Заказчиком по мере возникновения потребности в выполнении подрядных работ.</w:t>
      </w:r>
    </w:p>
    <w:p>
      <w:pPr>
        <w:pStyle w:val="Normal"/>
        <w:tabs>
          <w:tab w:val="clear" w:pos="708"/>
          <w:tab w:val="left" w:pos="540" w:leader="none"/>
        </w:tabs>
        <w:spacing w:lineRule="auto" w:line="240" w:before="0" w:after="0"/>
        <w:ind w:firstLine="624"/>
        <w:jc w:val="both"/>
        <w:rPr>
          <w:rFonts w:ascii="Liberation Serif" w:hAnsi="Liberation Serif"/>
          <w:color w:val="111111"/>
          <w:highlight w:val="none"/>
          <w:shd w:fill="auto" w:val="clear"/>
        </w:rPr>
      </w:pPr>
      <w:r>
        <w:rPr>
          <w:rFonts w:eastAsia="Times New Roman" w:cs="Times New Roman" w:ascii="Liberation Serif" w:hAnsi="Liberation Serif"/>
          <w:color w:val="111111"/>
          <w:sz w:val="26"/>
          <w:szCs w:val="26"/>
          <w:shd w:fill="auto" w:val="clear"/>
          <w:lang w:eastAsia="ru-RU"/>
        </w:rPr>
        <w:t xml:space="preserve">2.1.1.2. </w:t>
      </w:r>
      <w:r>
        <w:rPr>
          <w:rFonts w:eastAsia="Times New Roman" w:cs="Times New Roman" w:ascii="Liberation Serif" w:hAnsi="Liberation Serif"/>
          <w:color w:val="111111"/>
          <w:sz w:val="26"/>
          <w:szCs w:val="26"/>
          <w:shd w:fill="auto" w:val="clear"/>
          <w:lang w:eastAsia="ru-RU"/>
        </w:rPr>
        <w:t>Стоимость подрядных работ в оформляемых дополнительных соглашениях определяется Перечнем стоимости работ (Приложение 1 к Техническим требованиям) с применением тендерного коэффициента, предлагаемого Участником в своей заявке на этапе закупочной процедуры, с учетом конкретных объемов работ.</w:t>
      </w:r>
    </w:p>
    <w:p>
      <w:pPr>
        <w:pStyle w:val="Normal"/>
        <w:spacing w:lineRule="auto" w:line="240" w:before="0" w:after="0"/>
        <w:ind w:firstLine="624"/>
        <w:jc w:val="both"/>
        <w:rPr>
          <w:rFonts w:ascii="Liberation Serif" w:hAnsi="Liberation Serif"/>
          <w:color w:val="111111"/>
        </w:rPr>
      </w:pPr>
      <w:r>
        <w:rPr>
          <w:rFonts w:eastAsia="Times New Roman" w:cs="Times New Roman" w:ascii="Liberation Serif" w:hAnsi="Liberation Serif"/>
          <w:strike w:val="false"/>
          <w:dstrike w:val="false"/>
          <w:color w:val="111111"/>
          <w:sz w:val="26"/>
          <w:szCs w:val="26"/>
          <w:shd w:fill="auto" w:val="clear"/>
          <w:lang w:eastAsia="ru-RU"/>
        </w:rPr>
        <w:t xml:space="preserve">2.1.1.3. </w:t>
      </w:r>
      <w:r>
        <w:rPr>
          <w:rFonts w:eastAsia="Times New Roman" w:cs="Times New Roman" w:ascii="Liberation Serif" w:hAnsi="Liberation Serif"/>
          <w:strike w:val="false"/>
          <w:dstrike w:val="false"/>
          <w:color w:val="111111"/>
          <w:sz w:val="26"/>
          <w:szCs w:val="26"/>
          <w:shd w:fill="auto" w:val="clear"/>
          <w:lang w:eastAsia="ru-RU"/>
        </w:rPr>
        <w:t>Н</w:t>
      </w:r>
      <w:r>
        <w:rPr>
          <w:rFonts w:eastAsia="Times New Roman" w:cs="Times New Roman" w:ascii="Liberation Serif" w:hAnsi="Liberation Serif"/>
          <w:color w:val="111111"/>
          <w:sz w:val="26"/>
          <w:szCs w:val="26"/>
          <w:shd w:fill="auto" w:val="clear"/>
          <w:lang w:eastAsia="ru-RU"/>
        </w:rPr>
        <w:t xml:space="preserve">е допускается превышение стоимости отдельных позиций, указанных в Перечне стоимости работ (Приложение 1 к Техническим требованиям). Стоимость каждого вида работ будут являться существенным условием договора, заключаемого по результатам закупки. </w:t>
      </w:r>
    </w:p>
    <w:p>
      <w:pPr>
        <w:pStyle w:val="Normal"/>
        <w:tabs>
          <w:tab w:val="clear" w:pos="708"/>
          <w:tab w:val="left" w:pos="540" w:leader="none"/>
        </w:tabs>
        <w:ind w:firstLine="70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color w:val="000000"/>
          <w:sz w:val="26"/>
          <w:szCs w:val="26"/>
        </w:rPr>
        <w:t xml:space="preserve">2.1.1.4. </w:t>
      </w:r>
      <w:r>
        <w:rPr>
          <w:rFonts w:eastAsia="Calibri" w:ascii="Liberation Serif" w:hAnsi="Liberation Serif" w:eastAsiaTheme="minorHAnsi"/>
          <w:color w:val="000000"/>
          <w:sz w:val="26"/>
          <w:szCs w:val="26"/>
        </w:rPr>
        <w:t xml:space="preserve">По результатам настоящей конкурентной процедуры Договор будет заключаться с предельной стоимостью 34 500 000 рублей (тридцать четыре миллиона пятьсот тысяч) рублей без учета НДС. </w:t>
      </w:r>
    </w:p>
    <w:p>
      <w:pPr>
        <w:pStyle w:val="Normal"/>
        <w:ind w:firstLine="709"/>
        <w:jc w:val="both"/>
        <w:rPr>
          <w:rFonts w:eastAsia="Calibri"/>
          <w:i/>
          <w:i/>
          <w:sz w:val="26"/>
          <w:szCs w:val="26"/>
        </w:rPr>
      </w:pPr>
      <w:r>
        <w:rPr>
          <w:rFonts w:eastAsia="Calibri" w:ascii="Liberation Serif" w:hAnsi="Liberation Serif" w:eastAsiaTheme="minorHAnsi"/>
          <w:sz w:val="26"/>
          <w:szCs w:val="26"/>
        </w:rPr>
        <w:t xml:space="preserve">2.1.1.5. </w:t>
      </w:r>
      <w:r>
        <w:rPr>
          <w:rFonts w:eastAsia="Calibri" w:ascii="Liberation Serif" w:hAnsi="Liberation Serif" w:eastAsiaTheme="minorHAnsi"/>
          <w:sz w:val="26"/>
          <w:szCs w:val="26"/>
        </w:rPr>
        <w:t>Для оценки заявок Участников настоящей конкурентной закупки</w:t>
      </w:r>
      <w:bookmarkStart w:id="14" w:name="_GoBack1"/>
      <w:bookmarkEnd w:id="14"/>
      <w:r>
        <w:rPr>
          <w:rFonts w:eastAsia="Calibri" w:ascii="Liberation Serif" w:hAnsi="Liberation Serif" w:eastAsiaTheme="minorHAnsi"/>
          <w:sz w:val="26"/>
          <w:szCs w:val="26"/>
        </w:rPr>
        <w:t xml:space="preserve"> будет использоваться </w:t>
      </w:r>
      <w:r>
        <w:rPr>
          <w:rFonts w:eastAsia="Calibri" w:ascii="Liberation Serif" w:hAnsi="Liberation Serif" w:eastAsiaTheme="minorHAnsi"/>
          <w:b/>
          <w:sz w:val="26"/>
          <w:szCs w:val="26"/>
        </w:rPr>
        <w:t>Понижающий коэффициент K1 -  тендерный коэффициент</w:t>
      </w:r>
      <w:r>
        <w:rPr>
          <w:rFonts w:eastAsia="Calibri" w:ascii="Liberation Serif" w:hAnsi="Liberation Serif" w:eastAsiaTheme="minorHAnsi"/>
          <w:sz w:val="26"/>
          <w:szCs w:val="26"/>
        </w:rPr>
        <w:t>.</w:t>
      </w:r>
    </w:p>
    <w:p>
      <w:pPr>
        <w:pStyle w:val="Normal"/>
        <w:spacing w:lineRule="auto" w:line="240" w:before="0" w:after="0"/>
        <w:ind w:firstLine="624"/>
        <w:jc w:val="both"/>
        <w:rPr>
          <w:rFonts w:eastAsia="Calibri" w:eastAsiaTheme="minorHAnsi"/>
          <w:highlight w:val="none"/>
          <w:shd w:fill="auto" w:val="clear"/>
        </w:rPr>
      </w:pPr>
      <w:r>
        <w:rPr>
          <w:rFonts w:eastAsia="Calibri" w:cs="Times New Roman" w:eastAsiaTheme="minorHAnsi"/>
          <w:sz w:val="26"/>
          <w:szCs w:val="26"/>
          <w:shd w:fill="auto" w:val="clear"/>
          <w:lang w:eastAsia="ru-RU"/>
        </w:rPr>
        <w:t xml:space="preserve">2.1.1.6. </w:t>
      </w:r>
      <w:r>
        <w:rPr>
          <w:rFonts w:eastAsia="Calibri" w:cs="Times New Roman" w:eastAsiaTheme="minorHAnsi"/>
          <w:sz w:val="26"/>
          <w:szCs w:val="26"/>
          <w:shd w:fill="auto" w:val="clear"/>
          <w:lang w:eastAsia="ru-RU"/>
        </w:rPr>
        <w:t>Требования к документации по ценообразованию на этапе закупки представлены в пункте 3 настоящих ТТ.</w:t>
      </w:r>
    </w:p>
    <w:p>
      <w:pPr>
        <w:pStyle w:val="Normal"/>
        <w:ind w:hanging="0"/>
        <w:jc w:val="both"/>
        <w:rPr/>
      </w:pPr>
      <w:r>
        <w:rPr/>
      </w:r>
    </w:p>
    <w:p>
      <w:pPr>
        <w:pStyle w:val="Heading3"/>
        <w:numPr>
          <w:ilvl w:val="0"/>
          <w:numId w:val="0"/>
        </w:numPr>
        <w:ind w:left="-57" w:hanging="0"/>
        <w:rPr>
          <w:lang w:val="ru-RU"/>
        </w:rPr>
      </w:pPr>
      <w:r>
        <w:rPr>
          <w:lang w:val="ru-RU"/>
        </w:rPr>
        <w:t xml:space="preserve">2.1.2. </w:t>
      </w:r>
      <w:r>
        <w:rPr>
          <w:lang w:val="ru-RU"/>
        </w:rPr>
        <w:t>Требования к срокам выполнения работ</w:t>
      </w:r>
    </w:p>
    <w:p>
      <w:pPr>
        <w:pStyle w:val="Heading3"/>
        <w:tabs>
          <w:tab w:val="clear" w:pos="0"/>
        </w:tabs>
        <w:ind w:left="-57" w:hanging="0"/>
        <w:rPr>
          <w:b w:val="false"/>
          <w:bCs w:val="false"/>
          <w:lang w:val="ru-RU"/>
        </w:rPr>
      </w:pPr>
      <w:r>
        <w:rPr>
          <w:b w:val="false"/>
          <w:bCs w:val="false"/>
          <w:lang w:val="ru-RU"/>
        </w:rPr>
        <w:t xml:space="preserve">Общий срок выполнения работ: начало работ: с даты, следующей за датой заключения Договора; </w:t>
      </w:r>
    </w:p>
    <w:p>
      <w:pPr>
        <w:pStyle w:val="Heading3"/>
        <w:tabs>
          <w:tab w:val="clear" w:pos="0"/>
        </w:tabs>
        <w:ind w:left="-57" w:hanging="0"/>
        <w:rPr>
          <w:b w:val="false"/>
          <w:bCs w:val="false"/>
          <w:lang w:val="ru-RU"/>
        </w:rPr>
      </w:pPr>
      <w:r>
        <w:rPr>
          <w:b w:val="false"/>
          <w:bCs w:val="false"/>
          <w:lang w:val="ru-RU"/>
        </w:rPr>
        <w:t>Окончание работ: 31.12.2025 г</w:t>
      </w:r>
    </w:p>
    <w:p>
      <w:pPr>
        <w:pStyle w:val="Heading1"/>
        <w:keepLines/>
        <w:tabs>
          <w:tab w:val="clear" w:pos="0"/>
        </w:tabs>
        <w:spacing w:before="0" w:after="60"/>
        <w:ind w:left="0" w:hanging="0"/>
        <w:rPr>
          <w:sz w:val="24"/>
          <w:szCs w:val="24"/>
          <w:lang w:val="ru-RU"/>
        </w:rPr>
      </w:pPr>
      <w:bookmarkStart w:id="15" w:name="_Toc54646408"/>
      <w:bookmarkStart w:id="16" w:name="_Toc50125127"/>
      <w:bookmarkStart w:id="17" w:name="_Toc51339697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. </w:t>
      </w:r>
      <w:bookmarkStart w:id="18" w:name="_Hlk50465284"/>
      <w:r>
        <w:rPr>
          <w:sz w:val="24"/>
          <w:szCs w:val="24"/>
        </w:rPr>
        <w:t xml:space="preserve">Требования по срокам </w:t>
      </w:r>
      <w:bookmarkEnd w:id="15"/>
      <w:bookmarkEnd w:id="16"/>
      <w:bookmarkEnd w:id="17"/>
      <w:bookmarkEnd w:id="18"/>
      <w:r>
        <w:rPr>
          <w:sz w:val="24"/>
          <w:szCs w:val="24"/>
          <w:lang w:val="ru-RU"/>
        </w:rPr>
        <w:t>выполнения работ</w:t>
      </w:r>
    </w:p>
    <w:tbl>
      <w:tblPr>
        <w:tblW w:w="9776" w:type="dxa"/>
        <w:jc w:val="left"/>
        <w:tblInd w:w="43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5"/>
        <w:gridCol w:w="3828"/>
        <w:gridCol w:w="2268"/>
        <w:gridCol w:w="3114"/>
      </w:tblGrid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Style35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Style35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color w:val="auto"/>
              </w:rPr>
            </w:pPr>
            <w:r>
              <w:rPr>
                <w:rFonts w:ascii="Liberation Serif" w:hAnsi="Liberation Serif"/>
                <w:color w:val="auto"/>
                <w:sz w:val="26"/>
                <w:szCs w:val="26"/>
              </w:rPr>
              <w:t>Кадастровые работы.</w:t>
            </w:r>
          </w:p>
          <w:p>
            <w:pPr>
              <w:pStyle w:val="ListParagraph"/>
              <w:widowControl w:val="false"/>
              <w:ind w:left="0" w:right="0" w:hanging="0"/>
              <w:jc w:val="both"/>
              <w:rPr>
                <w:strike w:val="false"/>
                <w:dstrike w:val="false"/>
                <w:color w:val="auto"/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strike w:val="false"/>
                <w:dstrike w:val="false"/>
                <w:color w:val="auto"/>
                <w:sz w:val="24"/>
                <w:szCs w:val="24"/>
                <w:lang w:val="ru-RU" w:eastAsia="ru-RU"/>
              </w:rPr>
              <w:t>Выполнение работ, в результате которых уполномоченные органы власти выдают разрешение на размещение объекта, принимают решение об установлении публичного сервитута; установление сервитута в порядке установленном Гражданским кодексом РФ, главой V.3 Земельного кодекса РФ. Закрепление границ земельного участка на местности.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с момента заключения дополнительного соглашения к договору подряда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в течение 15 календарных дней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/>
            </w:pPr>
            <w:r>
              <w:rPr/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Проектно-изыскательские работы.</w:t>
            </w:r>
          </w:p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sz w:val="26"/>
                <w:szCs w:val="26"/>
              </w:rPr>
              <w:t>Разработка и предоставление Заказчику рабочей документации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с момента заключения дополнительного соглашения к договору подряда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в течение 30 календарных дней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/>
            </w:pPr>
            <w:r>
              <w:rPr/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sz w:val="26"/>
                <w:szCs w:val="26"/>
              </w:rPr>
              <w:t>Строительно-монтажные работы по строительству и реконструкции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с момента заключения дополнительного соглашения к договору подряда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в течение 60 календарных дней</w:t>
            </w:r>
          </w:p>
        </w:tc>
      </w:tr>
    </w:tbl>
    <w:p>
      <w:pPr>
        <w:sectPr>
          <w:headerReference w:type="default" r:id="rId2"/>
          <w:headerReference w:type="first" r:id="rId3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1"/>
        </w:numPr>
        <w:rPr/>
      </w:pPr>
      <w:bookmarkStart w:id="19" w:name="_Toc51339698"/>
      <w:bookmarkStart w:id="20" w:name="_Toc54646410"/>
      <w:r>
        <w:rPr/>
        <w:t xml:space="preserve">Требования к </w:t>
      </w:r>
      <w:r>
        <w:rPr>
          <w:lang w:val="ru-RU"/>
        </w:rPr>
        <w:t>качеству работ</w:t>
      </w:r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</w:rPr>
      </w:pPr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. Требования к </w:t>
      </w:r>
      <w:bookmarkEnd w:id="19"/>
      <w:bookmarkEnd w:id="20"/>
      <w:r>
        <w:rPr>
          <w:sz w:val="24"/>
          <w:szCs w:val="24"/>
          <w:lang w:val="ru-RU"/>
        </w:rPr>
        <w:t xml:space="preserve">качеству </w:t>
      </w:r>
    </w:p>
    <w:p>
      <w:pPr>
        <w:pStyle w:val="Normal"/>
        <w:bidi w:val="0"/>
        <w:jc w:val="left"/>
        <w:rPr>
          <w:rFonts w:ascii="Times New Roman" w:hAnsi="Times New Roman"/>
          <w:b w:val="false"/>
          <w:i w:val="false"/>
          <w:i w:val="false"/>
          <w:strike w:val="false"/>
          <w:dstrike w:val="false"/>
          <w:outline w:val="false"/>
          <w:shadow w:val="false"/>
          <w:sz w:val="22"/>
          <w:u w:val="none"/>
          <w:em w:val="non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sz w:val="22"/>
          <w:u w:val="none"/>
          <w:em w:val="none"/>
        </w:rPr>
        <w:t>ОКПД2 43.21.10 Мероприятия по подключению новых потребителей для нужд филиала  "Хабаровские электрические сети" на территории СП «ЦЭС» СРЭС</w:t>
      </w:r>
    </w:p>
    <w:p>
      <w:pPr>
        <w:pStyle w:val="Normal"/>
        <w:bidi w:val="0"/>
        <w:jc w:val="left"/>
        <w:rPr>
          <w:rFonts w:ascii="Times New Roman" w:hAnsi="Times New Roman"/>
          <w:b w:val="false"/>
          <w:i w:val="false"/>
          <w:i w:val="false"/>
          <w:strike w:val="false"/>
          <w:dstrike w:val="false"/>
          <w:outline w:val="false"/>
          <w:shadow w:val="false"/>
          <w:sz w:val="22"/>
          <w:u w:val="none"/>
          <w:em w:val="non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sz w:val="22"/>
          <w:u w:val="none"/>
          <w:em w:val="none"/>
        </w:rPr>
      </w:r>
    </w:p>
    <w:tbl>
      <w:tblPr>
        <w:tblStyle w:val="afffff1"/>
        <w:tblW w:w="15452" w:type="dxa"/>
        <w:jc w:val="left"/>
        <w:tblInd w:w="-353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59"/>
        <w:gridCol w:w="2177"/>
        <w:gridCol w:w="7754"/>
        <w:gridCol w:w="1919"/>
        <w:gridCol w:w="2643"/>
      </w:tblGrid>
      <w:tr>
        <w:trPr>
          <w:trHeight w:val="322" w:hRule="atLeast"/>
        </w:trPr>
        <w:tc>
          <w:tcPr>
            <w:tcW w:w="95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177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7754" w:type="dxa"/>
            <w:vMerge w:val="restart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456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76" w:hRule="atLeast"/>
        </w:trPr>
        <w:tc>
          <w:tcPr>
            <w:tcW w:w="959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77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754" w:type="dxa"/>
            <w:vMerge w:val="continue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ru-RU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ind w:left="5" w:right="908" w:hanging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17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1.1.1</w:t>
            </w:r>
          </w:p>
        </w:tc>
        <w:tc>
          <w:tcPr>
            <w:tcW w:w="217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0"/>
              <w:jc w:val="left"/>
              <w:rPr>
                <w:sz w:val="26"/>
                <w:szCs w:val="26"/>
              </w:rPr>
            </w:pPr>
            <w:r>
              <w:rPr>
                <w:rFonts w:eastAsia="Times New Roman" w:cs="" w:ascii="Liberation Serif" w:hAnsi="Liberation Serif" w:cstheme="minorBidi"/>
                <w:i/>
                <w:iCs/>
                <w:kern w:val="0"/>
                <w:sz w:val="26"/>
                <w:szCs w:val="26"/>
                <w:lang w:val="ru-RU" w:eastAsia="ru-RU" w:bidi="ar-SA"/>
              </w:rPr>
              <w:t>Перечень выполняемых работ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color w:val="00000A"/>
                <w:kern w:val="0"/>
                <w:sz w:val="26"/>
                <w:szCs w:val="26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A"/>
                <w:kern w:val="0"/>
                <w:sz w:val="26"/>
                <w:szCs w:val="26"/>
                <w:shd w:fill="auto" w:val="clear"/>
                <w:lang w:val="ru-RU" w:eastAsia="ru-RU" w:bidi="ar-SA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eastAsia="Times New Roman" w:cs="Times New Roman"/>
                <w:color w:val="00000A"/>
                <w:kern w:val="0"/>
                <w:sz w:val="26"/>
                <w:szCs w:val="26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A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ОКПД2 43.21.10 Мероприятия по подключению новых потребителей для нужд филиала  "Хабаровские электрические сети" на территории СП «ЦЭС» СРЭС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eastAsia="Times New Roman" w:cs="Times New Roman"/>
                <w:color w:val="00000A"/>
                <w:kern w:val="0"/>
                <w:sz w:val="26"/>
                <w:szCs w:val="26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A"/>
                <w:kern w:val="0"/>
                <w:sz w:val="26"/>
                <w:szCs w:val="26"/>
                <w:shd w:fill="auto" w:val="clear"/>
                <w:lang w:val="ru-RU" w:eastAsia="ru-RU" w:bidi="ar-SA"/>
              </w:rPr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ru-RU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b/>
                <w:i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1.1.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</w:t>
            </w:r>
          </w:p>
        </w:tc>
        <w:tc>
          <w:tcPr>
            <w:tcW w:w="217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Требования к выполнению работ.</w:t>
            </w:r>
          </w:p>
        </w:tc>
        <w:tc>
          <w:tcPr>
            <w:tcW w:w="7754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Все работы выполняются в соответствии с настоящими Техническими требованиями.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Выполнение Работ осуществляется поэтапно. Сроки выполнения отдельных Этапов Работ определяются Календарным графиком выполнения Работ в рамках общих сроков, указанных в пункте 6 настоящих ТТ.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Календарный график выполнения работ (с разбивкой на этапы) в формате  разрабатывается Подрядчиком в соответствии обозначенных этапов в составе заявки (сроки, цена) и подлежит согласованию с Заказчиком при заключении договора подряда. </w:t>
            </w: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/>
                <w:kern w:val="0"/>
                <w:sz w:val="24"/>
                <w:szCs w:val="24"/>
                <w:lang w:eastAsia="ru-RU"/>
              </w:rPr>
              <w:t>Согласие с требованием</w:t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b/>
                <w:i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1.2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1.2.1</w:t>
            </w:r>
          </w:p>
        </w:tc>
        <w:tc>
          <w:tcPr>
            <w:tcW w:w="217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Подготовительные работы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1.Выполнение организационно - технических мероприятий, обеспечивающих безопасное выполнение работ: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оформление допуска для производства работ в зоне, действующей ЛЭП.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разработка рабочей документации;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2. Согласование с заказчиком Календарного графика выполнения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3. Доставка строительной техники к месту производства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4. Доставка к месту работы необходимых материалов.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5. Мероприятия по строительству ВЛ  и  с ТП 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6.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 необходимо оформление допуска для производства работ в зоне, действующей ЛЭП.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1.3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1.3.1</w:t>
            </w:r>
          </w:p>
        </w:tc>
        <w:tc>
          <w:tcPr>
            <w:tcW w:w="217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Выполнение строительно-монтажных работ осуществляется на основании разрешения на размещение объекта органа государственной власти или органа местного самоуправления (получаемого Заказчиком на основании схемы границ земель или части на кадастровом плане территории).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ПУЭ (действующее издание);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ПТЭ (действующее издание);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РФ на территории РФ» (Приказ Минстроя России от 04.08.2020 № 421);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СП 48.13330.2019 «Организация строительства»;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СП 68.13330.2017 «Приемка в эксплуатацию законченных строительством объектов. Основные положения»;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СП 76.13330.2016 «Электротехнические устройства»;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СП 126.13330.2017 «Геодезические работы в строительстве»;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РД–11-02-2006 «Требования к исполнительной документации»;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РД–11-05-2007 «Порядок ведения общего журнала работ»;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И 1.13-07 «Инструкция по оформлению приемо-сдаточной документации по электромонтажным работам»;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Хабаровского края. </w:t>
            </w:r>
            <w:r>
              <w:rPr>
                <w:rFonts w:eastAsia="Times New Roman" w:cs="Times New Roman"/>
                <w:spacing w:val="-1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К выполнению СМР приступить только после письменного согласования Заказчиком рабочей документации.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</w:t>
            </w:r>
            <w:r>
              <w:rPr>
                <w:rFonts w:eastAsia="Times New Roman" w:cs="Times New Roman"/>
                <w:spacing w:val="-1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Правила пожарной безопасности;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1.4</w:t>
            </w:r>
          </w:p>
        </w:tc>
        <w:tc>
          <w:tcPr>
            <w:tcW w:w="9931" w:type="dxa"/>
            <w:gridSpan w:val="2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ind w:left="142" w:right="0" w:hanging="0"/>
              <w:jc w:val="left"/>
              <w:rPr>
                <w:b/>
                <w:bCs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Разработка проектно-сметной документации в объеме рабочей документации.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i/>
              </w:rPr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1.4.1</w:t>
            </w:r>
          </w:p>
        </w:tc>
        <w:tc>
          <w:tcPr>
            <w:tcW w:w="217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ind w:left="142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В состав проекта включить</w:t>
            </w:r>
            <w:r>
              <w:rPr>
                <w:b/>
                <w:color w:val="000000"/>
                <w:sz w:val="26"/>
                <w:szCs w:val="26"/>
              </w:rPr>
              <w:t>:</w:t>
            </w:r>
          </w:p>
        </w:tc>
        <w:tc>
          <w:tcPr>
            <w:tcW w:w="7754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Для объектов находящихся на территории г. Хабаровск.</w:t>
            </w:r>
          </w:p>
          <w:p>
            <w:pPr>
              <w:pStyle w:val="Normal"/>
              <w:widowControl w:val="false"/>
              <w:ind w:left="0" w:right="0" w:hang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Получить ИСОГД (в случае необходиомости).</w:t>
            </w:r>
          </w:p>
          <w:p>
            <w:pPr>
              <w:pStyle w:val="Normal"/>
              <w:widowControl w:val="false"/>
              <w:spacing w:lineRule="auto" w:line="276" w:before="0" w:after="200"/>
              <w:ind w:left="0" w:right="0" w:hanging="0"/>
              <w:contextualSpacing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Согласованную по выписке ИСОГД Схему границ поопорной трассировки на топооснове и КПТ (масштаб 1:500) объекта ТП;</w:t>
            </w:r>
          </w:p>
          <w:p>
            <w:pPr>
              <w:pStyle w:val="Normal"/>
              <w:widowControl w:val="false"/>
              <w:spacing w:lineRule="auto" w:line="276" w:before="0" w:after="200"/>
              <w:ind w:left="0" w:right="0" w:hanging="0"/>
              <w:contextualSpacing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Изготовить и согласовать с заказчиком: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– в случае, если планируется использовать земли или часть земельного участка, находящихся в государственной или муниципальной собственности, без предоставления земельных участков и установления сервитута (с использованием системы координат, применяемой при ведении государственного кадастра недвижимости) или схему границ публичного сервитута (сервитут);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перечетную ведомость и подеревную схему (в случае сноса зеленых насаждений). Разрешение на снос зеленых насаждений;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ППР на производство земляных работ.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Для объектов находящихся не на территории г. Хабаровск.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Согласованную по выписке с заинтересованными землепользователями и сетедержателями Схему границ поопорной трассировки объекта ТП на топографической основе (масштаб 1:2000; 1:5000 при наличии) (по согласованию с администрациями Муниципальных образований на основе Google карт) и КПТ;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Изготовить и согласовать с заказчиком: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– в случае, если планируется использовать земли или часть земельного участка, находящихся в государственной или муниципальной собственности, без предоставления земельных участков и установления сервитута (с использованием системы координат, применяемой при ведении государственного кадастра недвижимости) (схему границ севвитута, публичного сервитута);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перечетную ведомость и подеревную схему (в случае сноса зеленых насаждений). Разрешение на снос зеленых насаждений;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ППР на производство земляных работ.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Указанные документы и исходные материалы предоставить в бумажном виде и на электронном носителе в форматах (*.pdf; *.dwg; *.tab; *.hml; *.sig). Работы по подготовке исходно разрешительной документации должны быть выполнены в соответствии с Земельным кодексом Российской Фудерации; Градостроительным кодексом Российской Федерации и другими законами Российской Федерации и Хабаровского края; нормативно-правовыми актами Российской Федерации, Хабаровского края и муниципальных образований Хабаровского края.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Схемы закрепления опор в грунте; ведомость стрел провесов проводов; конструктивно-строительные решения; мероприятия по защите ВЛ от грозовых перенапряжений; заземляющие устройства ВЛ; спецификации материалов, изделий, конструкций, оборудования, схемы монтажа птицезащитных устройств.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0"/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Краткую пояснительную записку с описанием строительных и электротехнических решений по ВЛ и ТП.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76" w:before="60" w:after="0"/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Проектные решения разработать в соответствии с техническими условиями на технологическое присоединение.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before="60" w:after="0"/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Проектную документацию необходимо согласовать с начальником сетевого района, начальником Службы технологического присоединения, главным инженером СП «ЦЭС» филиала «ХЭС», сектором земельных отношений Отдела капитального строительства и инвестиций филиала «ХЭС» до начала производства работ.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before="60" w:after="0"/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Проектная документация должна быть разработана с учетом Технической политики Группы РусГидро, в том числе с учетом Технической политики.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before="60" w:after="0"/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Разработанные проекты передать по акту приемки-передачи на утверждение в филиал АО «ДРСК» «ХЭС» (в бумажном виде и на электронном носителе, формат.pdf, .dwg).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Виды работ: строительно-монтажные по строительству и реконструкции.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Срок выполнения строительно-монтажных работ – в течение 45 календарных дней с даты заключения дополнительного соглашения к договору подряда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</w:rPr>
              <w:t>Согласие с требованием</w:t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</w:t>
            </w:r>
          </w:p>
        </w:tc>
        <w:tc>
          <w:tcPr>
            <w:tcW w:w="9931" w:type="dxa"/>
            <w:gridSpan w:val="2"/>
            <w:tcBorders>
              <w:top w:val="nil"/>
              <w:left w:val="nil"/>
              <w:right w:val="nil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1919" w:type="dxa"/>
            <w:tcBorders>
              <w:top w:val="nil"/>
              <w:left w:val="nil"/>
              <w:right w:val="nil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  <w:left w:val="nil"/>
              <w:right w:val="nil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2.1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2.1.2</w:t>
            </w:r>
          </w:p>
        </w:tc>
        <w:tc>
          <w:tcPr>
            <w:tcW w:w="217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20" w:after="20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1. Монтаж ВЛ: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приемки законченного строительства;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технической готовности электромонтажных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освидетельствования скрытых работ по монтажу заземляющего устройства с исполнительной схемой;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Паспорт ЛЭП (лист с изменениями) – готовится и хранится в РЭС;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освидетельствования скрытых работ на устройство основания под опоры;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Исполнительная схема ЛЭП;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2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Протокол измерения сопротивления изоляции электропроводок и кабелей;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Протокол измерения сопротивления заземляющего устройства;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•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Протокол проверки наличия цепи между заземленной установкой и заземлителем;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Лицензия на ВВ лабораторию (копия);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Паспорта и сертификаты на примененные материалы, изделия, оборудование;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Справка об устранении выявленных замечаний (при наличии);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Ордер на производство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2. Монтаж ТП (в случае монтажа ТП дополнительно предоставляются):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сдачи-приемки электромонтажных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Паспорт заземляющего устройства в составе: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освидетельствования скрытых работ по наружному контуру заземления ТП;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сдачи-приемки работ по монтажу наружного контура заземления ТП;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Протоколы приемо-сдаточных испытаний согласно ПУЭ;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Паспорта на установленное оборудование;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оформляет исполнительную документацию на участки прохождения ЛЭП в местах пересечений, сближений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ЛЭП, на которые получены согласования и/или технические условия, с оформлением актов (справок) об их выполнении.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6"/>
                <w:szCs w:val="26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shd w:fill="auto" w:val="clear"/>
                <w:lang w:val="ru-RU" w:eastAsia="ru-RU" w:bidi="ar-SA"/>
              </w:rPr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2.1.3</w:t>
            </w:r>
          </w:p>
        </w:tc>
        <w:tc>
          <w:tcPr>
            <w:tcW w:w="217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20" w:after="20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Прочие требования к выполняемым работам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1. При выполнении строительно-монтажных работ Подрядчик обеспечивает: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Строгое соблюдение требований, содержащихся в </w:t>
            </w:r>
            <w:r>
              <w:rPr>
                <w:rFonts w:eastAsia="Calibri" w:cs="Times New Roman" w:ascii="Liberation Serif" w:hAnsi="Liberation Serif" w:eastAsiaTheme="minorHAnsi"/>
                <w:b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настоящих Технических требованиях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, в СНиП, СП, СанПин, технических регламентах и иных документах, регламентирующих строительную деятельность.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>
              <w:rPr>
                <w:rFonts w:eastAsia="Calibri" w:cs="Times New Roman" w:ascii="Liberation Serif" w:hAnsi="Liberation Serif" w:eastAsiaTheme="minorHAnsi"/>
                <w:b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настоящего Технического требования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. Подрядчик обязан незамедлительно приступать к устранению недостатков, о которых ему стало известно.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3. Письменно уведомлять Заказчика о необходимости проведения освидетельствования и / или приемки Скрытых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5.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6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- 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6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- 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6.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Заказчик может дать письменное распоряжение, обязательное для Подрядчика, с указанием: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•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увеличить или сократить объем любой работы, включенной в Договор;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исключить любую работу;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изменить характер или качество, или вид любой части работы;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выполнить дополнительную работу любого характера, необходимую для завершения строительства объекта.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2.2</w:t>
            </w:r>
          </w:p>
        </w:tc>
        <w:tc>
          <w:tcPr>
            <w:tcW w:w="9931" w:type="dxa"/>
            <w:gridSpan w:val="2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2.2.1</w:t>
            </w:r>
          </w:p>
        </w:tc>
        <w:tc>
          <w:tcPr>
            <w:tcW w:w="217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предоставляет: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Исполнительная документация оформляется в 3 экземплярах: 1 экземпляр передается в РЭС и 1 экземпляр в соответствующее структурное подразделение филиала «Хабаровские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в структурное подразделение и РЭС), 1 экземпляр в отдел капитального строительства и инвестиций</w:t>
            </w:r>
            <w:r>
              <w:rPr>
                <w:rFonts w:eastAsia="Times New Roman" w:cs="Times New Roman" w:ascii="Liberation Serif" w:hAnsi="Liberation Serif"/>
                <w:bCs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Рабочая документация в электронном виде в формате PDF (в количестве 3-х экземпляров);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Фотоматериалы выполненного объекта.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</w:p>
        </w:tc>
        <w:tc>
          <w:tcPr>
            <w:tcW w:w="9931" w:type="dxa"/>
            <w:gridSpan w:val="2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cs="Times New Roman"/>
                <w:kern w:val="0"/>
                <w:highlight w:val="none"/>
                <w:shd w:fill="auto" w:val="clear"/>
                <w:lang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cs="Times New Roman"/>
                <w:kern w:val="0"/>
                <w:highlight w:val="none"/>
                <w:shd w:fill="auto" w:val="clear"/>
                <w:lang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cs="Times New Roman"/>
                <w:kern w:val="0"/>
                <w:highlight w:val="none"/>
                <w:shd w:fill="auto" w:val="clear"/>
                <w:lang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3.1</w:t>
            </w:r>
          </w:p>
        </w:tc>
        <w:tc>
          <w:tcPr>
            <w:tcW w:w="2177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775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tabs>
                <w:tab w:val="clear" w:pos="708"/>
                <w:tab w:val="left" w:pos="0" w:leader="none"/>
                <w:tab w:val="left" w:pos="993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993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u w:val="single"/>
                <w:shd w:fill="auto" w:val="clear"/>
                <w:lang w:val="ru-RU" w:eastAsia="ru-RU" w:bidi="ar-SA"/>
              </w:rPr>
              <w:t>Подрядчик обязан: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before="0" w:after="0"/>
              <w:ind w:left="-25" w:hanging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1) 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before="0" w:after="0"/>
              <w:ind w:left="-25" w:hanging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2) 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806" w:leader="none"/>
                <w:tab w:val="left" w:pos="1418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3) при подаче заявки письменно предоставить письмо о согласии и перечень;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993" w:leader="none"/>
                <w:tab w:val="left" w:pos="1418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before="0" w:after="0"/>
              <w:ind w:left="-45" w:firstLine="45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Times New Roman" w:cs="Times New Roman" w:ascii="Liberation Serif" w:hAnsi="Liberation Serif"/>
                <w:iCs/>
                <w:kern w:val="0"/>
                <w:sz w:val="25"/>
                <w:szCs w:val="25"/>
                <w:shd w:fill="auto" w:val="clear"/>
                <w:lang w:val="x-none" w:eastAsia="ar-SA" w:bidi="ar-SA"/>
              </w:rPr>
              <w:t>При согласовании привлечения Субподрядчика Подрядчик представляет Заказчику: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–</w:t>
            </w: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проект договора с Субподрядчиком;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–</w:t>
            </w: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 </w:t>
            </w: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сведения об объемах выполнения работ Субподрядчиком;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–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ascii="Times New Roman" w:hAnsi="Times New Roman" w:eastAsia="Calibri" w:cs="Times New Roman"/>
                <w:iCs/>
                <w:kern w:val="0"/>
                <w:sz w:val="26"/>
                <w:szCs w:val="26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Calibri" w:cs="Times New Roman"/>
                <w:iCs/>
                <w:kern w:val="0"/>
                <w:sz w:val="26"/>
                <w:szCs w:val="26"/>
                <w:shd w:fill="auto" w:val="clear"/>
                <w:lang w:val="ru-RU" w:eastAsia="ru-RU" w:bidi="ar-SA"/>
              </w:rPr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</w:tbl>
    <w:p>
      <w:pPr>
        <w:pStyle w:val="Normal"/>
        <w:jc w:val="center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sectPr>
          <w:headerReference w:type="default" r:id="rId4"/>
          <w:headerReference w:type="first" r:id="rId5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  <w:pStyle w:val="Normal"/>
        <w:tabs>
          <w:tab w:val="clear" w:pos="708"/>
          <w:tab w:val="left" w:pos="997" w:leader="none"/>
          <w:tab w:val="center" w:pos="4677" w:leader="none"/>
          <w:tab w:val="right" w:pos="9355" w:leader="none"/>
        </w:tabs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</w:p>
    <w:p>
      <w:pPr>
        <w:pStyle w:val="Normal"/>
        <w:rPr>
          <w:rFonts w:eastAsia="Calibri"/>
          <w:b/>
          <w:iCs/>
          <w:highlight w:val="none"/>
          <w:shd w:fill="auto" w:val="clear"/>
          <w:lang w:val="x-none" w:eastAsia="x-none"/>
        </w:rPr>
      </w:pPr>
      <w:r>
        <w:rPr>
          <w:rFonts w:eastAsia="Calibri"/>
          <w:b/>
          <w:iCs/>
          <w:shd w:fill="auto" w:val="clear"/>
          <w:lang w:val="x-none" w:eastAsia="x-none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276" w:before="0" w:after="0"/>
        <w:ind w:left="0" w:firstLine="709"/>
        <w:contextualSpacing w:val="false"/>
        <w:jc w:val="both"/>
        <w:rPr>
          <w:highlight w:val="none"/>
          <w:shd w:fill="auto" w:val="clear"/>
        </w:rPr>
      </w:pPr>
      <w:bookmarkStart w:id="21" w:name="_Toc126307933"/>
      <w:r>
        <w:rPr>
          <w:b/>
          <w:bCs/>
          <w:shd w:fill="auto" w:val="clear"/>
        </w:rPr>
        <w:t>Требования к документации по ценообразованию на этапе заключения (исполнения) договора</w:t>
      </w:r>
      <w:bookmarkEnd w:id="21"/>
    </w:p>
    <w:p>
      <w:pPr>
        <w:pStyle w:val="ListParagraph"/>
        <w:widowControl w:val="false"/>
        <w:spacing w:lineRule="auto" w:line="276" w:before="0" w:after="0"/>
        <w:ind w:left="709" w:hanging="0"/>
        <w:contextualSpacing w:val="false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276"/>
        <w:ind w:firstLine="709"/>
        <w:jc w:val="both"/>
        <w:rPr>
          <w:highlight w:val="none"/>
          <w:shd w:fill="auto" w:val="clear"/>
        </w:rPr>
      </w:pPr>
      <w:r>
        <w:rPr>
          <w:b/>
          <w:bCs/>
          <w:color w:val="000000"/>
          <w:sz w:val="24"/>
          <w:szCs w:val="24"/>
          <w:shd w:fill="auto" w:val="clear"/>
        </w:rPr>
        <w:t>3.1. Требования к</w:t>
      </w:r>
      <w:r>
        <w:rPr>
          <w:b/>
          <w:color w:val="000000"/>
          <w:sz w:val="24"/>
          <w:szCs w:val="24"/>
          <w:shd w:fill="auto" w:val="clear"/>
        </w:rPr>
        <w:t xml:space="preserve"> составлению сметной документации (при заключении договора):</w:t>
      </w:r>
    </w:p>
    <w:p>
      <w:pPr>
        <w:pStyle w:val="Normal"/>
        <w:tabs>
          <w:tab w:val="clear" w:pos="708"/>
          <w:tab w:val="left" w:pos="709" w:leader="none"/>
        </w:tabs>
        <w:spacing w:lineRule="auto" w:line="276"/>
        <w:ind w:firstLine="709"/>
        <w:jc w:val="both"/>
        <w:rPr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  <w:t>3.1.1.</w:t>
        <w:tab/>
      </w:r>
      <w:r>
        <w:rPr>
          <w:rFonts w:cs="Times New Roman"/>
          <w:iCs/>
          <w:color w:val="000000"/>
          <w:sz w:val="26"/>
          <w:szCs w:val="26"/>
          <w:shd w:fill="auto" w:val="clear"/>
        </w:rPr>
        <w:t>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заполнению), с указанием коэффициента снижения Ki (%) (тендерный коэффициент) (коэффициент указывается с точностью до третьего знака после запятой).</w:t>
      </w:r>
    </w:p>
    <w:p>
      <w:pPr>
        <w:pStyle w:val="Normal"/>
        <w:tabs>
          <w:tab w:val="clear" w:pos="708"/>
          <w:tab w:val="left" w:pos="709" w:leader="none"/>
        </w:tabs>
        <w:spacing w:before="0" w:after="200"/>
        <w:ind w:firstLine="709"/>
        <w:contextualSpacing/>
        <w:jc w:val="both"/>
        <w:rPr>
          <w:highlight w:val="none"/>
          <w:shd w:fill="auto" w:val="clear"/>
        </w:rPr>
      </w:pPr>
      <w:r>
        <w:rPr>
          <w:rFonts w:ascii="Liberation Serif" w:hAnsi="Liberation Serif"/>
          <w:iCs/>
          <w:color w:val="000000"/>
          <w:sz w:val="26"/>
          <w:szCs w:val="26"/>
          <w:shd w:fill="auto" w:val="clear"/>
        </w:rPr>
        <w:t xml:space="preserve">3.1.2. </w:t>
      </w:r>
      <w:r>
        <w:rPr>
          <w:rFonts w:cs="Times New Roman"/>
          <w:iCs/>
          <w:color w:val="000000"/>
          <w:sz w:val="26"/>
          <w:szCs w:val="26"/>
          <w:shd w:fill="auto" w:val="clear"/>
        </w:rPr>
        <w:t xml:space="preserve">Коэффициенты снижения служат только для оценки и сопоставления предложений Участников по соответствующим ценовым (стоимостным) критериям оценки </w:t>
      </w:r>
      <w:bookmarkStart w:id="22" w:name="_Hlk87537450"/>
      <w:r>
        <w:rPr>
          <w:rFonts w:cs="Times New Roman"/>
          <w:iCs/>
          <w:color w:val="000000"/>
          <w:sz w:val="26"/>
          <w:szCs w:val="26"/>
          <w:shd w:fill="auto" w:val="clear"/>
        </w:rPr>
        <w:t xml:space="preserve">к Документации о закупке «Порядок и критерии оценки </w:t>
        <w:br/>
        <w:t>и сопоставления заявок»</w:t>
      </w:r>
      <w:bookmarkEnd w:id="22"/>
      <w:r>
        <w:rPr>
          <w:rFonts w:cs="Times New Roman"/>
          <w:iCs/>
          <w:color w:val="000000"/>
          <w:sz w:val="26"/>
          <w:szCs w:val="26"/>
          <w:shd w:fill="auto" w:val="clear"/>
        </w:rPr>
        <w:t xml:space="preserve"> (в договоре закрепляются единичные расценки работ, предложенные в заявке Победителем).</w:t>
      </w:r>
    </w:p>
    <w:p>
      <w:pPr>
        <w:pStyle w:val="Normal"/>
        <w:widowControl/>
        <w:tabs>
          <w:tab w:val="clear" w:pos="708"/>
          <w:tab w:val="left" w:pos="0" w:leader="none"/>
          <w:tab w:val="left" w:pos="709" w:leader="none"/>
        </w:tabs>
        <w:suppressAutoHyphens w:val="false"/>
        <w:bidi w:val="0"/>
        <w:spacing w:lineRule="auto" w:line="240" w:before="0" w:after="0"/>
        <w:ind w:left="0" w:right="0" w:firstLine="567"/>
        <w:jc w:val="both"/>
        <w:rPr>
          <w:color w:val="111111"/>
          <w:highlight w:val="none"/>
          <w:shd w:fill="auto" w:val="clear"/>
        </w:rPr>
      </w:pPr>
      <w:r>
        <w:rPr>
          <w:rFonts w:cs="Times New Roman"/>
          <w:iCs/>
          <w:color w:val="111111"/>
          <w:sz w:val="26"/>
          <w:szCs w:val="26"/>
          <w:shd w:fill="auto" w:val="clear"/>
        </w:rPr>
        <w:t xml:space="preserve">Указываемый Участником понижающий коэффициент K1 -тендерный коэффициент является единым для всех позиций Таблицы 1 </w:t>
      </w:r>
      <w:r>
        <w:rPr>
          <w:rFonts w:eastAsia="Times New Roman" w:cs="Times New Roman"/>
          <w:iCs/>
          <w:color w:val="111111"/>
          <w:sz w:val="26"/>
          <w:szCs w:val="26"/>
          <w:shd w:fill="auto" w:val="clear"/>
          <w:lang w:eastAsia="ru-RU"/>
        </w:rPr>
        <w:t>Перечня стоимости работ (Приложение 1 к Техническим требованиям)</w:t>
      </w:r>
      <w:r>
        <w:rPr>
          <w:rFonts w:cs="Times New Roman"/>
          <w:iCs/>
          <w:color w:val="111111"/>
          <w:sz w:val="26"/>
          <w:szCs w:val="26"/>
          <w:shd w:fill="auto" w:val="clear"/>
        </w:rPr>
        <w:t>, применение разных понижающих коэффициентов не допустимо.</w:t>
      </w:r>
    </w:p>
    <w:p>
      <w:pPr>
        <w:pStyle w:val="Normal"/>
        <w:tabs>
          <w:tab w:val="clear" w:pos="708"/>
          <w:tab w:val="left" w:pos="709" w:leader="none"/>
        </w:tabs>
        <w:spacing w:before="0" w:after="200"/>
        <w:ind w:firstLine="709"/>
        <w:contextualSpacing/>
        <w:jc w:val="both"/>
        <w:rPr>
          <w:highlight w:val="none"/>
          <w:shd w:fill="auto" w:val="clear"/>
        </w:rPr>
      </w:pPr>
      <w:r>
        <w:rPr>
          <w:rFonts w:eastAsia="Calibri" w:cs="Times New Roman" w:eastAsiaTheme="minorHAnsi"/>
          <w:iCs/>
          <w:color w:val="000000"/>
          <w:sz w:val="26"/>
          <w:szCs w:val="26"/>
          <w:shd w:fill="auto" w:val="clear"/>
        </w:rPr>
        <w:t>3.1.3. Стоимость за единицу продукции (работы) должна включать в себя 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материалами, и прочие расходы, связанные с выполнением работ, предусмотренные Проектом договора.</w:t>
      </w:r>
    </w:p>
    <w:p>
      <w:pPr>
        <w:pStyle w:val="Normal"/>
        <w:tabs>
          <w:tab w:val="clear" w:pos="708"/>
          <w:tab w:val="left" w:pos="709" w:leader="none"/>
        </w:tabs>
        <w:spacing w:before="0" w:after="200"/>
        <w:ind w:firstLine="709"/>
        <w:contextualSpacing/>
        <w:jc w:val="both"/>
        <w:rPr>
          <w:highlight w:val="none"/>
          <w:shd w:fill="auto" w:val="clear"/>
        </w:rPr>
      </w:pPr>
      <w:r>
        <w:rPr>
          <w:rFonts w:eastAsia="Calibri" w:cs="Times New Roman" w:eastAsiaTheme="minorHAnsi"/>
          <w:iCs/>
          <w:color w:val="000000"/>
          <w:sz w:val="26"/>
          <w:szCs w:val="26"/>
          <w:shd w:fill="auto" w:val="clear"/>
        </w:rPr>
        <w:t>3.1.4. Дополнительные документы по ценообразованию (сметная документация) в состав заявки Участника не включается.</w:t>
      </w:r>
    </w:p>
    <w:p>
      <w:pPr>
        <w:pStyle w:val="Normal"/>
        <w:tabs>
          <w:tab w:val="clear" w:pos="708"/>
          <w:tab w:val="left" w:pos="709" w:leader="none"/>
        </w:tabs>
        <w:spacing w:lineRule="auto" w:line="276"/>
        <w:ind w:firstLine="709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ListParagraph"/>
        <w:spacing w:lineRule="auto" w:line="276"/>
        <w:ind w:left="0" w:firstLine="709"/>
        <w:jc w:val="both"/>
        <w:rPr>
          <w:highlight w:val="none"/>
          <w:shd w:fill="auto" w:val="clear"/>
        </w:rPr>
      </w:pPr>
      <w:r>
        <w:rPr>
          <w:b/>
          <w:bCs/>
          <w:shd w:fill="auto" w:val="clear"/>
        </w:rPr>
        <w:t xml:space="preserve">4. </w:t>
      </w:r>
      <w:r>
        <w:rPr>
          <w:rFonts w:eastAsia="Times New Roman" w:ascii="Liberation Serif" w:hAnsi="Liberation Serif"/>
          <w:b/>
          <w:bCs/>
          <w:color w:val="000000"/>
          <w:sz w:val="26"/>
          <w:szCs w:val="26"/>
          <w:shd w:fill="auto" w:val="clear"/>
          <w:lang w:val="x-none"/>
        </w:rPr>
        <w:t>Перечень Давальческих материалов и запасных частей, Давальческого оборудования будет указан в техническом требовании при заключении дополнительного соглашения.</w:t>
      </w:r>
    </w:p>
    <w:p>
      <w:pPr>
        <w:pStyle w:val="ListParagraph"/>
        <w:spacing w:lineRule="auto" w:line="276"/>
        <w:ind w:left="0" w:firstLine="709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ListParagraph"/>
        <w:spacing w:lineRule="auto" w:line="276"/>
        <w:ind w:left="0" w:firstLine="709"/>
        <w:jc w:val="both"/>
        <w:rPr>
          <w:highlight w:val="none"/>
          <w:shd w:fill="auto" w:val="clear"/>
        </w:rPr>
      </w:pPr>
      <w:r>
        <w:rPr>
          <w:rFonts w:eastAsia="Times New Roman" w:ascii="Liberation Serif" w:hAnsi="Liberation Serif"/>
          <w:b/>
          <w:bCs/>
          <w:color w:val="000000"/>
          <w:sz w:val="26"/>
          <w:szCs w:val="26"/>
          <w:shd w:fill="auto" w:val="clear"/>
          <w:lang w:val="x-none"/>
        </w:rPr>
        <w:t xml:space="preserve">5. </w:t>
      </w:r>
      <w:r>
        <w:rPr>
          <w:rFonts w:eastAsia="Times New Roman" w:cs="Times New Roman"/>
          <w:b/>
          <w:bCs/>
          <w:color w:val="000000"/>
          <w:sz w:val="26"/>
          <w:szCs w:val="26"/>
          <w:shd w:fill="auto" w:val="clear"/>
          <w:lang w:val="x-none"/>
        </w:rPr>
        <w:t>Требования к документации по ценообразованию на этапе исполнения договора.</w:t>
      </w:r>
    </w:p>
    <w:p>
      <w:pPr>
        <w:pStyle w:val="Normal"/>
        <w:widowControl/>
        <w:suppressAutoHyphens w:val="false"/>
        <w:bidi w:val="0"/>
        <w:spacing w:before="0" w:after="0"/>
        <w:ind w:left="0" w:right="0" w:firstLine="567"/>
        <w:jc w:val="both"/>
        <w:rPr>
          <w:highlight w:val="none"/>
          <w:shd w:fill="auto" w:val="clear"/>
        </w:rPr>
      </w:pPr>
      <w:r>
        <w:rPr>
          <w:rFonts w:cs="Times New Roman"/>
          <w:sz w:val="26"/>
          <w:szCs w:val="26"/>
          <w:shd w:fill="auto" w:val="clear"/>
        </w:rPr>
        <w:t>5.1. Порядок расчета стоимости работ по дополнительным соглашениям устанавливается пунктом 3 договора подряда.</w:t>
      </w:r>
    </w:p>
    <w:p>
      <w:pPr>
        <w:pStyle w:val="ListParagraph"/>
        <w:spacing w:lineRule="auto" w:line="276"/>
        <w:ind w:left="0" w:firstLine="709"/>
        <w:jc w:val="both"/>
        <w:rPr>
          <w:b w:val="false"/>
          <w:bCs w:val="false"/>
          <w:highlight w:val="none"/>
          <w:shd w:fill="auto" w:val="clear"/>
        </w:rPr>
      </w:pPr>
      <w:r>
        <w:rPr>
          <w:rFonts w:eastAsia="" w:cs="Times New Roman" w:eastAsiaTheme="majorEastAsia"/>
          <w:b w:val="false"/>
          <w:bCs w:val="false"/>
          <w:color w:val="000000"/>
          <w:sz w:val="26"/>
          <w:szCs w:val="26"/>
          <w:shd w:fill="auto" w:val="clear"/>
          <w:lang w:val="x-none"/>
        </w:rPr>
        <w:t>5.2.</w:t>
        <w:tab/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2 к настоящим Техническим требованиям, с применением понижающего коэффициента, определенного по результатам конкурентной процедуры.</w:t>
      </w:r>
    </w:p>
    <w:p>
      <w:pPr>
        <w:pStyle w:val="Normal"/>
        <w:ind w:firstLine="567"/>
        <w:jc w:val="both"/>
        <w:rPr>
          <w:sz w:val="24"/>
          <w:szCs w:val="24"/>
          <w:highlight w:val="none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Heading1"/>
        <w:keepLines/>
        <w:tabs>
          <w:tab w:val="clear" w:pos="0"/>
        </w:tabs>
        <w:spacing w:before="120" w:after="0"/>
        <w:ind w:left="0" w:firstLine="567"/>
        <w:rPr>
          <w:sz w:val="26"/>
          <w:szCs w:val="26"/>
          <w:highlight w:val="none"/>
          <w:shd w:fill="auto" w:val="clear"/>
        </w:rPr>
      </w:pPr>
      <w:bookmarkStart w:id="23" w:name="_Toc54646413"/>
      <w:bookmarkEnd w:id="23"/>
      <w:r>
        <w:rPr>
          <w:i/>
          <w:iCs/>
          <w:sz w:val="26"/>
          <w:szCs w:val="26"/>
          <w:shd w:fill="auto" w:val="clear"/>
        </w:rPr>
        <w:t>Приложения</w:t>
      </w:r>
    </w:p>
    <w:p>
      <w:pPr>
        <w:pStyle w:val="Normal"/>
        <w:ind w:firstLine="567"/>
        <w:jc w:val="both"/>
        <w:rPr>
          <w:sz w:val="26"/>
          <w:szCs w:val="26"/>
          <w:highlight w:val="none"/>
          <w:shd w:fill="auto" w:val="clear"/>
        </w:rPr>
      </w:pPr>
      <w:r>
        <w:rPr>
          <w:i/>
          <w:iCs/>
          <w:sz w:val="26"/>
          <w:szCs w:val="26"/>
          <w:shd w:fill="auto" w:val="clear"/>
        </w:rPr>
        <w:t>Приложение № 1.  Перечень стоимости работ;</w:t>
      </w:r>
    </w:p>
    <w:p>
      <w:pPr>
        <w:pStyle w:val="Normal"/>
        <w:ind w:firstLine="567"/>
        <w:jc w:val="both"/>
        <w:rPr>
          <w:sz w:val="26"/>
          <w:szCs w:val="26"/>
          <w:highlight w:val="none"/>
          <w:shd w:fill="auto" w:val="clear"/>
        </w:rPr>
      </w:pPr>
      <w:r>
        <w:rPr>
          <w:i/>
          <w:iCs/>
          <w:sz w:val="26"/>
          <w:szCs w:val="26"/>
          <w:shd w:fill="auto" w:val="clear"/>
        </w:rPr>
        <w:t>Приложение № 2. Требования к оформлению и составлению сметной документации  на    выполнение работ при новом строительстве;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i/>
          <w:iCs/>
          <w:sz w:val="26"/>
          <w:szCs w:val="26"/>
          <w:shd w:fill="auto" w:val="clear"/>
        </w:rPr>
        <w:t>Приложение № 3 Техническое задание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i/>
          <w:iCs/>
          <w:sz w:val="26"/>
          <w:szCs w:val="26"/>
          <w:shd w:fill="auto" w:val="clear"/>
        </w:rPr>
        <w:t xml:space="preserve">Приложение № 4 Регламент по координированию опор ВЛ и ТП в системе координат WGS-84; 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i/>
          <w:iCs/>
          <w:sz w:val="26"/>
          <w:szCs w:val="26"/>
          <w:shd w:fill="auto" w:val="clear"/>
        </w:rPr>
        <w:t>Приложение № 5 Опросные листы.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i/>
          <w:iCs/>
          <w:sz w:val="26"/>
          <w:szCs w:val="26"/>
          <w:shd w:fill="auto" w:val="clear"/>
        </w:rPr>
        <w:t>Приложение № 6 Локальные сметные расчеты.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/>
      </w:r>
    </w:p>
    <w:sectPr>
      <w:headerReference w:type="default" r:id="rId6"/>
      <w:headerReference w:type="first" r:id="rId7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Tahoma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t>2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16</w:t>
    </w:r>
    <w:r>
      <w:rPr/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18</w:t>
    </w:r>
    <w:r>
      <w:rPr/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b/>
        <w:bCs/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42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6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10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14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18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22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6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102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3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1061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link w:val="2"/>
    <w:qFormat/>
    <w:rsid w:val="00ea61a8"/>
    <w:pPr>
      <w:tabs>
        <w:tab w:val="clear" w:pos="0"/>
      </w:tabs>
      <w:outlineLvl w:val="1"/>
    </w:pPr>
    <w:rPr/>
  </w:style>
  <w:style w:type="paragraph" w:styleId="Heading3">
    <w:name w:val="Heading 3"/>
    <w:basedOn w:val="Normal"/>
    <w:link w:val="3"/>
    <w:autoRedefine/>
    <w:qFormat/>
    <w:rsid w:val="00035e96"/>
    <w:pPr>
      <w:keepNext w:val="true"/>
      <w:tabs>
        <w:tab w:val="clear" w:pos="708"/>
        <w:tab w:val="left" w:pos="0" w:leader="none"/>
      </w:tabs>
      <w:spacing w:before="120" w:after="60"/>
      <w:ind w:left="1247" w:hanging="1304"/>
      <w:jc w:val="both"/>
      <w:outlineLvl w:val="2"/>
    </w:pPr>
    <w:rPr>
      <w:rFonts w:eastAsia="Calibri"/>
      <w:b/>
      <w:bCs/>
      <w:sz w:val="24"/>
      <w:szCs w:val="24"/>
      <w:lang w:val="x-none" w:eastAsia="x-none"/>
    </w:rPr>
  </w:style>
  <w:style w:type="paragraph" w:styleId="Heading4">
    <w:name w:val="Heading 4"/>
    <w:basedOn w:val="Heading3"/>
    <w:link w:val="4"/>
    <w:qFormat/>
    <w:rsid w:val="006629c9"/>
    <w:pPr>
      <w:outlineLvl w:val="3"/>
    </w:pPr>
    <w:rPr/>
  </w:style>
  <w:style w:type="paragraph" w:styleId="Heading5">
    <w:name w:val="Heading 5"/>
    <w:basedOn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 w:customStyle="1">
    <w:name w:val="Hyperlink"/>
    <w:basedOn w:val="DefaultParagraphFont"/>
    <w:uiPriority w:val="99"/>
    <w:unhideWhenUsed/>
    <w:rsid w:val="008e2ae8"/>
    <w:rPr>
      <w:color w:val="0563C1" w:themeColor="hyperlink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bCs/>
      <w:color w:val="00000A"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Заголовок 1 Знак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i/>
      <w:shd w:fill="FFFF99" w:val="clear"/>
    </w:rPr>
  </w:style>
  <w:style w:type="character" w:styleId="Style9" w:customStyle="1">
    <w:name w:val="Подподпункт Знак"/>
    <w:qFormat/>
    <w:locked/>
    <w:rsid w:val="0025139e"/>
    <w:rPr>
      <w:sz w:val="26"/>
      <w:szCs w:val="26"/>
    </w:rPr>
  </w:style>
  <w:style w:type="character" w:styleId="31" w:customStyle="1">
    <w:name w:val="Заголовок 3 Знак1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qFormat/>
    <w:rsid w:val="00de52bc"/>
    <w:rPr>
      <w:b/>
      <w:sz w:val="28"/>
    </w:rPr>
  </w:style>
  <w:style w:type="character" w:styleId="12" w:customStyle="1">
    <w:name w:val="УРОВЕНЬ_1. Знак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главление 3 Знак"/>
    <w:link w:val="35"/>
    <w:qFormat/>
    <w:rsid w:val="00c36f30"/>
    <w:rPr>
      <w:sz w:val="16"/>
      <w:szCs w:val="16"/>
    </w:rPr>
  </w:style>
  <w:style w:type="character" w:styleId="D9fyld" w:customStyle="1">
    <w:name w:val="d9fyld"/>
    <w:basedOn w:val="DefaultParagraphFont"/>
    <w:qFormat/>
    <w:rsid w:val="00630f30"/>
    <w:rPr/>
  </w:style>
  <w:style w:type="character" w:styleId="Style14" w:customStyle="1">
    <w:name w:val="Ссылка указателя"/>
    <w:qFormat/>
    <w:rPr/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8e2ae8"/>
    <w:rPr>
      <w:color w:val="605E5C"/>
      <w:shd w:fill="E1DFDD" w:val="clear"/>
    </w:rPr>
  </w:style>
  <w:style w:type="character" w:styleId="Style15" w:customStyle="1">
    <w:name w:val="Маркеры списка"/>
    <w:qFormat/>
    <w:rPr>
      <w:rFonts w:ascii="OpenSymbol" w:hAnsi="OpenSymbol" w:eastAsia="OpenSymbol" w:cs="OpenSymbol"/>
    </w:rPr>
  </w:style>
  <w:style w:type="character" w:styleId="FollowedHyperlink" w:customStyle="1">
    <w:name w:val="FollowedHyperlink"/>
    <w:basedOn w:val="DefaultParagraphFont"/>
    <w:rPr>
      <w:color w:val="954F72"/>
      <w:u w:val="single"/>
    </w:rPr>
  </w:style>
  <w:style w:type="character" w:styleId="Clipboard" w:customStyle="1">
    <w:name w:val="clipboard"/>
    <w:basedOn w:val="DefaultParagraphFont"/>
    <w:qFormat/>
    <w:rPr/>
  </w:style>
  <w:style w:type="character" w:styleId="Style16" w:customStyle="1">
    <w:name w:val="Символ нумерации"/>
    <w:qFormat/>
    <w:rPr/>
  </w:style>
  <w:style w:type="character" w:styleId="WW8Num1z0" w:customStyle="1">
    <w:name w:val="WW8Num1z0"/>
    <w:qFormat/>
    <w:rPr>
      <w:rFonts w:ascii="Times New Roman" w:hAnsi="Times New Roman" w:cs="Times New Roman"/>
      <w:sz w:val="18"/>
      <w:szCs w:val="18"/>
    </w:rPr>
  </w:style>
  <w:style w:type="character" w:styleId="14" w:customStyle="1">
    <w:name w:val="Знак концевой сноски1"/>
    <w:qFormat/>
    <w:rPr>
      <w:vertAlign w:val="superscript"/>
    </w:rPr>
  </w:style>
  <w:style w:type="character" w:styleId="15" w:customStyle="1">
    <w:name w:val="Гиперссылка1"/>
    <w:qFormat/>
    <w:rPr>
      <w:color w:val="0000FF"/>
      <w:u w:val="single"/>
    </w:rPr>
  </w:style>
  <w:style w:type="character" w:styleId="FontStyle16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Style17" w:customStyle="1">
    <w:name w:val="Основной текст с отступом Знак"/>
    <w:qFormat/>
    <w:rPr>
      <w:sz w:val="28"/>
      <w:szCs w:val="28"/>
    </w:rPr>
  </w:style>
  <w:style w:type="character" w:styleId="Style18" w:customStyle="1">
    <w:name w:val="Заголовок Знак"/>
    <w:qFormat/>
    <w:rPr>
      <w:b/>
      <w:sz w:val="22"/>
      <w:szCs w:val="22"/>
      <w:shd w:fill="FFFFFF" w:val="clear"/>
    </w:rPr>
  </w:style>
  <w:style w:type="character" w:styleId="33" w:customStyle="1">
    <w:name w:val="Основной текст 3 Знак"/>
    <w:qFormat/>
    <w:rPr>
      <w:color w:val="0000FF"/>
      <w:sz w:val="24"/>
      <w:szCs w:val="24"/>
      <w:lang w:eastAsia="en-US"/>
    </w:rPr>
  </w:style>
  <w:style w:type="character" w:styleId="Style19" w:customStyle="1">
    <w:name w:val="Нижний колонтитул Знак"/>
    <w:qFormat/>
    <w:rPr>
      <w:sz w:val="28"/>
      <w:szCs w:val="28"/>
    </w:rPr>
  </w:style>
  <w:style w:type="character" w:styleId="Style20" w:customStyle="1">
    <w:name w:val="Тема примечания Знак"/>
    <w:qFormat/>
    <w:rPr>
      <w:b/>
      <w:bCs/>
    </w:rPr>
  </w:style>
  <w:style w:type="character" w:styleId="41" w:customStyle="1">
    <w:name w:val="4. Отчерк Знак"/>
    <w:qFormat/>
    <w:rPr>
      <w:sz w:val="24"/>
      <w:szCs w:val="24"/>
      <w:lang w:val="x-none" w:eastAsia="x-none"/>
    </w:rPr>
  </w:style>
  <w:style w:type="character" w:styleId="16" w:customStyle="1">
    <w:name w:val="1. Статья Знак"/>
    <w:qFormat/>
    <w:rPr>
      <w:sz w:val="24"/>
      <w:szCs w:val="24"/>
      <w:lang w:val="x-none" w:eastAsia="x-none"/>
    </w:rPr>
  </w:style>
  <w:style w:type="character" w:styleId="Style21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34" w:customStyle="1">
    <w:name w:val="3. Подпункт Знак"/>
    <w:qFormat/>
    <w:rPr>
      <w:b/>
      <w:bCs/>
      <w:sz w:val="24"/>
      <w:szCs w:val="24"/>
      <w:lang w:val="x-none" w:eastAsia="x-none"/>
    </w:rPr>
  </w:style>
  <w:style w:type="character" w:styleId="17" w:customStyle="1">
    <w:name w:val="Знак сноски1"/>
    <w:qFormat/>
    <w:rPr>
      <w:vertAlign w:val="superscript"/>
    </w:rPr>
  </w:style>
  <w:style w:type="character" w:styleId="WW8Num2z0">
    <w:name w:val="WW8Num2z0"/>
    <w:qFormat/>
    <w:rPr>
      <w:rFonts w:ascii="Symbol" w:hAnsi="Symbol" w:cs="Symbol"/>
    </w:rPr>
  </w:style>
  <w:style w:type="character" w:styleId="WW8Num3z0">
    <w:name w:val="WW8Num3z0"/>
    <w:qFormat/>
    <w:rPr>
      <w:rFonts w:ascii="Symbol" w:hAnsi="Symbol" w:cs="Symbol"/>
    </w:rPr>
  </w:style>
  <w:style w:type="paragraph" w:styleId="Style2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lang w:val="zxx" w:eastAsia="zxx" w:bidi="zxx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1" w:customStyle="1">
    <w:name w:val="index heading11"/>
    <w:basedOn w:val="Normal"/>
    <w:qFormat/>
    <w:pPr>
      <w:suppressLineNumbers/>
    </w:pPr>
    <w:rPr>
      <w:rFonts w:cs="Lohit Devanagari"/>
    </w:rPr>
  </w:style>
  <w:style w:type="paragraph" w:styleId="Style24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5" w:customStyle="1">
    <w:name w:val="Раздел положения"/>
    <w:basedOn w:val="Normal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styleId="Style26" w:customStyle="1">
    <w:name w:val="Подраздел раздела положения"/>
    <w:basedOn w:val="Normal"/>
    <w:autoRedefine/>
    <w:qFormat/>
    <w:rsid w:val="007475ee"/>
    <w:pPr>
      <w:spacing w:before="80" w:after="80"/>
      <w:jc w:val="both"/>
    </w:pPr>
    <w:rPr/>
  </w:style>
  <w:style w:type="paragraph" w:styleId="FootnoteText">
    <w:name w:val="Footnote Text"/>
    <w:basedOn w:val="Normal"/>
    <w:uiPriority w:val="99"/>
    <w:qFormat/>
    <w:rsid w:val="00d561d9"/>
    <w:pPr/>
    <w:rPr>
      <w:sz w:val="20"/>
      <w:szCs w:val="20"/>
    </w:rPr>
  </w:style>
  <w:style w:type="paragraph" w:styleId="18" w:customStyle="1">
    <w:name w:val="Шапка 1"/>
    <w:basedOn w:val="Normal"/>
    <w:qFormat/>
    <w:rsid w:val="00d561d9"/>
    <w:pPr>
      <w:pBdr>
        <w:bottom w:val="thickThinSmallGap" w:sz="24" w:space="1" w:color="00000A"/>
      </w:pBdr>
      <w:spacing w:before="0" w:after="240"/>
      <w:jc w:val="center"/>
    </w:pPr>
    <w:rPr>
      <w:sz w:val="22"/>
      <w:szCs w:val="22"/>
    </w:rPr>
  </w:style>
  <w:style w:type="paragraph" w:styleId="211" w:customStyle="1">
    <w:name w:val="Заголовок 2 Знак1"/>
    <w:basedOn w:val="Normal"/>
    <w:qFormat/>
    <w:rsid w:val="00d561d9"/>
    <w:pPr>
      <w:pBdr>
        <w:bottom w:val="thickThinSmallGap" w:sz="24" w:space="1" w:color="00000A"/>
      </w:pBdr>
      <w:spacing w:before="0" w:after="120"/>
      <w:jc w:val="center"/>
    </w:pPr>
    <w:rPr>
      <w:b/>
      <w:sz w:val="22"/>
      <w:szCs w:val="22"/>
    </w:rPr>
  </w:style>
  <w:style w:type="paragraph" w:styleId="35" w:customStyle="1">
    <w:name w:val="Шапка 3"/>
    <w:basedOn w:val="Normal"/>
    <w:link w:val="32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styleId="19" w:customStyle="1">
    <w:name w:val="Название1"/>
    <w:basedOn w:val="Normal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7" w:customStyle="1">
    <w:name w:val="Колонтитул"/>
    <w:basedOn w:val="Normal"/>
    <w:qFormat/>
    <w:pPr/>
    <w:rPr/>
  </w:style>
  <w:style w:type="paragraph" w:styleId="Header">
    <w:name w:val="Head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8" w:customStyle="1">
    <w:name w:val="Подпункт"/>
    <w:basedOn w:val="Normal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3" w:customStyle="1">
    <w:name w:val="Пункт2"/>
    <w:basedOn w:val="Normal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autoRedefine/>
    <w:uiPriority w:val="39"/>
    <w:rsid w:val="008870d9"/>
    <w:pPr>
      <w:tabs>
        <w:tab w:val="clear" w:pos="708"/>
        <w:tab w:val="right" w:pos="9911" w:leader="dot"/>
      </w:tabs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9" w:customStyle="1">
    <w:name w:val="Раздел регламента"/>
    <w:basedOn w:val="Normal"/>
    <w:qFormat/>
    <w:rsid w:val="00e228fa"/>
    <w:pPr/>
    <w:rPr/>
  </w:style>
  <w:style w:type="paragraph" w:styleId="Style30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rsid w:val="00b714b0"/>
    <w:pPr/>
    <w:rPr>
      <w:b/>
      <w:bCs/>
    </w:rPr>
  </w:style>
  <w:style w:type="paragraph" w:styleId="110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4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31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22"/>
    <w:pPr/>
    <w:rPr/>
  </w:style>
  <w:style w:type="paragraph" w:styleId="TOCHeading">
    <w:name w:val="TOC Heading"/>
    <w:basedOn w:val="Heading1"/>
    <w:uiPriority w:val="39"/>
    <w:qFormat/>
    <w:rsid w:val="00d22f6d"/>
    <w:pPr>
      <w:keepLines/>
      <w:tabs>
        <w:tab w:val="clear" w:pos="0"/>
      </w:tabs>
      <w:spacing w:before="480" w:after="60"/>
    </w:pPr>
    <w:rPr>
      <w:rFonts w:ascii="Cambria" w:hAnsi="Cambria"/>
      <w:color w:val="365F91"/>
    </w:rPr>
  </w:style>
  <w:style w:type="paragraph" w:styleId="E-mailSignature">
    <w:name w:val="E-mail Signature"/>
    <w:basedOn w:val="Normal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32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6" w:customStyle="1">
    <w:name w:val="Основной текст с отступом 3 Знак"/>
    <w:basedOn w:val="Normal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5" w:customStyle="1">
    <w:name w:val="Нумерованный список ур2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A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8"/>
      <w:szCs w:val="20"/>
      <w:lang w:val="ru-RU" w:eastAsia="ru-RU" w:bidi="ar-SA"/>
    </w:rPr>
  </w:style>
  <w:style w:type="paragraph" w:styleId="37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3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1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4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5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6" w:customStyle="1">
    <w:name w:val="Подподпункт"/>
    <w:basedOn w:val="Style28"/>
    <w:qFormat/>
    <w:rsid w:val="0025139e"/>
    <w:pPr>
      <w:tabs>
        <w:tab w:val="left" w:pos="1134" w:leader="none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7" w:customStyle="1">
    <w:name w:val="УРОВЕНЬ_(а)"/>
    <w:basedOn w:val="ListParagraph"/>
    <w:qFormat/>
    <w:rsid w:val="00b56f46"/>
    <w:pPr>
      <w:spacing w:lineRule="exact" w:line="360" w:before="120" w:after="0"/>
      <w:contextualSpacing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spacing w:lineRule="exact" w:line="360" w:before="120" w:after="0"/>
      <w:contextualSpacing/>
      <w:jc w:val="both"/>
      <w:outlineLvl w:val="4"/>
    </w:pPr>
    <w:rPr>
      <w:sz w:val="26"/>
      <w:szCs w:val="28"/>
      <w:lang w:eastAsia="en-US"/>
    </w:rPr>
  </w:style>
  <w:style w:type="paragraph" w:styleId="26" w:customStyle="1">
    <w:name w:val="УРОВЕНЬ_Абзац_тип2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12" w:customStyle="1">
    <w:name w:val="Основной текст с отступом 3 Знак1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38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contextualSpacing/>
      <w:jc w:val="right"/>
      <w:outlineLvl w:val="3"/>
    </w:pPr>
    <w:rPr>
      <w:sz w:val="26"/>
      <w:szCs w:val="28"/>
      <w:lang w:eastAsia="en-US"/>
    </w:rPr>
  </w:style>
  <w:style w:type="paragraph" w:styleId="112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</w:pPr>
    <w:rPr>
      <w:rFonts w:ascii="Arial" w:hAnsi="Arial" w:eastAsia="Times New Roman"/>
      <w:sz w:val="40"/>
      <w:szCs w:val="20"/>
      <w:lang w:val="ru-RU" w:eastAsia="ru-RU"/>
    </w:rPr>
  </w:style>
  <w:style w:type="paragraph" w:styleId="EndnoteText">
    <w:name w:val="Endnote Text"/>
    <w:basedOn w:val="Normal"/>
    <w:qFormat/>
    <w:rsid w:val="003879d4"/>
    <w:pPr/>
    <w:rPr>
      <w:sz w:val="20"/>
      <w:szCs w:val="20"/>
    </w:rPr>
  </w:style>
  <w:style w:type="paragraph" w:styleId="27" w:customStyle="1">
    <w:name w:val="Заголовок 2 КВВ"/>
    <w:basedOn w:val="Normal"/>
    <w:qFormat/>
    <w:rsid w:val="00cb35e8"/>
    <w:pPr>
      <w:keepNext w:val="true"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styleId="Style39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3" w:customStyle="1">
    <w:name w:val="УРОВЕНЬ_1."/>
    <w:basedOn w:val="ListParagraph"/>
    <w:qFormat/>
    <w:rsid w:val="004a17ae"/>
    <w:pPr>
      <w:keepNext w:val="true"/>
      <w:keepLines/>
      <w:spacing w:lineRule="auto" w:line="276" w:before="240" w:after="120"/>
      <w:ind w:lef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Default" w:customStyle="1">
    <w:name w:val="Default"/>
    <w:qFormat/>
    <w:rsid w:val="008b715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40" w:customStyle="1">
    <w:name w:val="Содержимое врезки"/>
    <w:basedOn w:val="Normal"/>
    <w:qFormat/>
    <w:pPr/>
    <w:rPr/>
  </w:style>
  <w:style w:type="paragraph" w:styleId="Style41" w:customStyle="1">
    <w:name w:val="Содержимое таблицы"/>
    <w:basedOn w:val="Normal"/>
    <w:qFormat/>
    <w:pPr>
      <w:widowControl w:val="false"/>
      <w:suppressLineNumbers/>
    </w:pPr>
    <w:rPr>
      <w:sz w:val="20"/>
      <w:szCs w:val="20"/>
    </w:rPr>
  </w:style>
  <w:style w:type="paragraph" w:styleId="Xl154" w:customStyle="1">
    <w:name w:val="xl154"/>
    <w:basedOn w:val="Normal"/>
    <w:qFormat/>
    <w:pPr>
      <w:pBdr>
        <w:top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53" w:customStyle="1">
    <w:name w:val="xl153"/>
    <w:basedOn w:val="Normal"/>
    <w:qFormat/>
    <w:pPr>
      <w:pBdr>
        <w:top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52" w:customStyle="1">
    <w:name w:val="xl152"/>
    <w:basedOn w:val="Normal"/>
    <w:qFormat/>
    <w:pPr>
      <w:pBdr>
        <w:top w:val="single" w:sz="8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51" w:customStyle="1">
    <w:name w:val="xl151"/>
    <w:basedOn w:val="Normal"/>
    <w:qFormat/>
    <w:pPr>
      <w:pBdr>
        <w:top w:val="single" w:sz="4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50" w:customStyle="1">
    <w:name w:val="xl150"/>
    <w:basedOn w:val="Normal"/>
    <w:qFormat/>
    <w:pPr>
      <w:pBdr>
        <w:top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49" w:customStyle="1">
    <w:name w:val="xl149"/>
    <w:basedOn w:val="Normal"/>
    <w:qFormat/>
    <w:pPr>
      <w:pBdr>
        <w:top w:val="single" w:sz="4" w:space="0" w:color="000000"/>
        <w:left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48" w:customStyle="1">
    <w:name w:val="xl148"/>
    <w:basedOn w:val="Normal"/>
    <w:qFormat/>
    <w:pPr>
      <w:pBdr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7" w:customStyle="1">
    <w:name w:val="xl147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6" w:customStyle="1">
    <w:name w:val="xl146"/>
    <w:basedOn w:val="Normal"/>
    <w:qFormat/>
    <w:pPr>
      <w:pBdr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5" w:customStyle="1">
    <w:name w:val="xl145"/>
    <w:basedOn w:val="Normal"/>
    <w:qFormat/>
    <w:pPr>
      <w:pBdr>
        <w:top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4" w:customStyle="1">
    <w:name w:val="xl144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3" w:customStyle="1">
    <w:name w:val="xl143"/>
    <w:basedOn w:val="Normal"/>
    <w:qFormat/>
    <w:pPr>
      <w:pBdr>
        <w:top w:val="single" w:sz="4" w:space="0" w:color="000000"/>
        <w:left w:val="single" w:sz="8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2" w:customStyle="1">
    <w:name w:val="xl142"/>
    <w:basedOn w:val="Normal"/>
    <w:qFormat/>
    <w:pPr>
      <w:pBdr>
        <w:top w:val="single" w:sz="4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141" w:customStyle="1">
    <w:name w:val="xl141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40" w:customStyle="1">
    <w:name w:val="xl140"/>
    <w:basedOn w:val="Normal"/>
    <w:qFormat/>
    <w:pPr>
      <w:pBdr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9" w:customStyle="1">
    <w:name w:val="xl139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8" w:customStyle="1">
    <w:name w:val="xl138"/>
    <w:basedOn w:val="Normal"/>
    <w:qFormat/>
    <w:pPr>
      <w:pBdr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7" w:customStyle="1">
    <w:name w:val="xl137"/>
    <w:basedOn w:val="Normal"/>
    <w:qFormat/>
    <w:pPr>
      <w:pBdr>
        <w:top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6" w:customStyle="1">
    <w:name w:val="xl136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5" w:customStyle="1">
    <w:name w:val="xl135"/>
    <w:basedOn w:val="Normal"/>
    <w:qFormat/>
    <w:pPr>
      <w:pBdr>
        <w:top w:val="single" w:sz="4" w:space="0" w:color="000000"/>
        <w:lef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4" w:customStyle="1">
    <w:name w:val="xl134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3" w:customStyle="1">
    <w:name w:val="xl133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2" w:customStyle="1">
    <w:name w:val="xl132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1" w:customStyle="1">
    <w:name w:val="xl13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0" w:customStyle="1">
    <w:name w:val="xl13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29" w:customStyle="1">
    <w:name w:val="xl12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28" w:customStyle="1">
    <w:name w:val="xl128"/>
    <w:basedOn w:val="Normal"/>
    <w:qFormat/>
    <w:pPr>
      <w:pBdr>
        <w:top w:val="single" w:sz="4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7" w:customStyle="1">
    <w:name w:val="xl127"/>
    <w:basedOn w:val="Normal"/>
    <w:qFormat/>
    <w:pPr>
      <w:pBdr>
        <w:top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6" w:customStyle="1">
    <w:name w:val="xl126"/>
    <w:basedOn w:val="Normal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5" w:customStyle="1">
    <w:name w:val="xl125"/>
    <w:basedOn w:val="Normal"/>
    <w:qFormat/>
    <w:pPr>
      <w:pBdr>
        <w:right w:val="single" w:sz="8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124" w:customStyle="1">
    <w:name w:val="xl124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3" w:customStyle="1">
    <w:name w:val="xl123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2" w:customStyle="1">
    <w:name w:val="xl122"/>
    <w:basedOn w:val="Normal"/>
    <w:qFormat/>
    <w:pPr>
      <w:pBdr>
        <w:right w:val="single" w:sz="4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121" w:customStyle="1">
    <w:name w:val="xl121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0" w:customStyle="1">
    <w:name w:val="xl120"/>
    <w:basedOn w:val="Normal"/>
    <w:qFormat/>
    <w:pPr>
      <w:suppressAutoHyphens w:val="false"/>
      <w:spacing w:before="280" w:after="280"/>
      <w:jc w:val="center"/>
    </w:pPr>
    <w:rPr>
      <w:b/>
      <w:bCs/>
      <w:sz w:val="24"/>
      <w:szCs w:val="24"/>
    </w:rPr>
  </w:style>
  <w:style w:type="paragraph" w:styleId="Xl119" w:customStyle="1">
    <w:name w:val="xl119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8" w:customStyle="1">
    <w:name w:val="xl118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7" w:customStyle="1">
    <w:name w:val="xl117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6" w:customStyle="1">
    <w:name w:val="xl116"/>
    <w:basedOn w:val="Normal"/>
    <w:qFormat/>
    <w:pPr>
      <w:pBdr>
        <w:top w:val="single" w:sz="8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5" w:customStyle="1">
    <w:name w:val="xl115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4" w:customStyle="1">
    <w:name w:val="xl11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113" w:customStyle="1">
    <w:name w:val="xl113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2" w:customStyle="1">
    <w:name w:val="xl112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1" w:customStyle="1">
    <w:name w:val="xl11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0" w:customStyle="1">
    <w:name w:val="xl110"/>
    <w:basedOn w:val="Normal"/>
    <w:qFormat/>
    <w:pPr>
      <w:pBdr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9" w:customStyle="1">
    <w:name w:val="xl109"/>
    <w:basedOn w:val="Normal"/>
    <w:qFormat/>
    <w:pPr>
      <w:pBdr>
        <w:top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8" w:customStyle="1">
    <w:name w:val="xl108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7" w:customStyle="1">
    <w:name w:val="xl107"/>
    <w:basedOn w:val="Normal"/>
    <w:qFormat/>
    <w:pPr>
      <w:pBdr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6" w:customStyle="1">
    <w:name w:val="xl106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5" w:customStyle="1">
    <w:name w:val="xl105"/>
    <w:basedOn w:val="Normal"/>
    <w:qFormat/>
    <w:pPr>
      <w:pBdr>
        <w:top w:val="single" w:sz="4" w:space="0" w:color="000000"/>
        <w:lef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4" w:customStyle="1">
    <w:name w:val="xl104"/>
    <w:basedOn w:val="Normal"/>
    <w:qFormat/>
    <w:pPr>
      <w:pBdr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03" w:customStyle="1">
    <w:name w:val="xl103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02" w:customStyle="1">
    <w:name w:val="xl102"/>
    <w:basedOn w:val="Normal"/>
    <w:qFormat/>
    <w:pPr>
      <w:pBdr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01" w:customStyle="1">
    <w:name w:val="xl10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0" w:customStyle="1">
    <w:name w:val="xl100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9" w:customStyle="1">
    <w:name w:val="xl99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8" w:customStyle="1">
    <w:name w:val="xl9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7" w:customStyle="1">
    <w:name w:val="xl9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6" w:customStyle="1">
    <w:name w:val="xl96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5" w:customStyle="1">
    <w:name w:val="xl95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4" w:customStyle="1">
    <w:name w:val="xl9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3" w:customStyle="1">
    <w:name w:val="xl93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2" w:customStyle="1">
    <w:name w:val="xl9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1" w:customStyle="1">
    <w:name w:val="xl9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90" w:customStyle="1">
    <w:name w:val="xl9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89" w:customStyle="1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88" w:customStyle="1">
    <w:name w:val="xl88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87" w:customStyle="1">
    <w:name w:val="xl87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86" w:customStyle="1">
    <w:name w:val="xl86"/>
    <w:basedOn w:val="Normal"/>
    <w:qFormat/>
    <w:pPr>
      <w:suppressAutoHyphens w:val="false"/>
      <w:spacing w:before="280" w:after="280"/>
      <w:jc w:val="center"/>
    </w:pPr>
    <w:rPr>
      <w:sz w:val="18"/>
      <w:szCs w:val="18"/>
    </w:rPr>
  </w:style>
  <w:style w:type="paragraph" w:styleId="Xl85" w:customStyle="1">
    <w:name w:val="xl85"/>
    <w:basedOn w:val="Normal"/>
    <w:qFormat/>
    <w:pPr>
      <w:suppressAutoHyphens w:val="false"/>
      <w:spacing w:before="280" w:after="280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pPr>
      <w:suppressAutoHyphens w:val="false"/>
      <w:spacing w:before="280" w:after="280"/>
      <w:jc w:val="right"/>
    </w:pPr>
    <w:rPr>
      <w:sz w:val="24"/>
      <w:szCs w:val="24"/>
    </w:rPr>
  </w:style>
  <w:style w:type="paragraph" w:styleId="Xl83" w:customStyle="1">
    <w:name w:val="xl83"/>
    <w:basedOn w:val="Normal"/>
    <w:qFormat/>
    <w:pPr>
      <w:suppressAutoHyphens w:val="false"/>
      <w:spacing w:before="280" w:after="280"/>
    </w:pPr>
    <w:rPr>
      <w:sz w:val="24"/>
      <w:szCs w:val="24"/>
    </w:rPr>
  </w:style>
  <w:style w:type="paragraph" w:styleId="Xl82" w:customStyle="1">
    <w:name w:val="xl82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81" w:customStyle="1">
    <w:name w:val="xl81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80" w:customStyle="1">
    <w:name w:val="xl80"/>
    <w:basedOn w:val="Normal"/>
    <w:qFormat/>
    <w:pPr>
      <w:suppressAutoHyphens w:val="false"/>
      <w:spacing w:before="280" w:after="280"/>
      <w:jc w:val="center"/>
    </w:pPr>
    <w:rPr>
      <w:sz w:val="20"/>
      <w:szCs w:val="20"/>
    </w:rPr>
  </w:style>
  <w:style w:type="paragraph" w:styleId="Xl79" w:customStyle="1">
    <w:name w:val="xl79"/>
    <w:basedOn w:val="Normal"/>
    <w:qFormat/>
    <w:pPr>
      <w:suppressAutoHyphens w:val="false"/>
      <w:spacing w:before="280" w:after="280"/>
      <w:jc w:val="center"/>
    </w:pPr>
    <w:rPr>
      <w:sz w:val="20"/>
      <w:szCs w:val="20"/>
    </w:rPr>
  </w:style>
  <w:style w:type="paragraph" w:styleId="Xl78" w:customStyle="1">
    <w:name w:val="xl78"/>
    <w:basedOn w:val="Normal"/>
    <w:qFormat/>
    <w:pPr>
      <w:suppressAutoHyphens w:val="false"/>
      <w:spacing w:before="280" w:after="280"/>
      <w:jc w:val="center"/>
    </w:pPr>
    <w:rPr>
      <w:sz w:val="20"/>
      <w:szCs w:val="20"/>
    </w:rPr>
  </w:style>
  <w:style w:type="paragraph" w:styleId="Xl77" w:customStyle="1">
    <w:name w:val="xl77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76" w:customStyle="1">
    <w:name w:val="xl76"/>
    <w:basedOn w:val="Normal"/>
    <w:qFormat/>
    <w:pPr>
      <w:suppressAutoHyphens w:val="false"/>
      <w:spacing w:before="280" w:after="280"/>
      <w:jc w:val="right"/>
    </w:pPr>
    <w:rPr>
      <w:b/>
      <w:bCs/>
      <w:sz w:val="24"/>
      <w:szCs w:val="24"/>
    </w:rPr>
  </w:style>
  <w:style w:type="paragraph" w:styleId="Xl75" w:customStyle="1">
    <w:name w:val="xl75"/>
    <w:basedOn w:val="Normal"/>
    <w:qFormat/>
    <w:pPr>
      <w:suppressAutoHyphens w:val="false"/>
      <w:spacing w:before="280" w:after="280"/>
      <w:jc w:val="right"/>
    </w:pPr>
    <w:rPr>
      <w:sz w:val="24"/>
      <w:szCs w:val="24"/>
    </w:rPr>
  </w:style>
  <w:style w:type="paragraph" w:styleId="Xl74" w:customStyle="1">
    <w:name w:val="xl74"/>
    <w:basedOn w:val="Normal"/>
    <w:qFormat/>
    <w:pPr>
      <w:pBdr>
        <w:top w:val="single" w:sz="4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73" w:customStyle="1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72" w:customStyle="1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71" w:customStyle="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70" w:customStyle="1">
    <w:name w:val="xl70"/>
    <w:basedOn w:val="Normal"/>
    <w:qFormat/>
    <w:pPr>
      <w:pBdr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69" w:customStyle="1">
    <w:name w:val="xl69"/>
    <w:basedOn w:val="Normal"/>
    <w:qFormat/>
    <w:pPr>
      <w:suppressAutoHyphens w:val="false"/>
      <w:spacing w:before="280" w:after="280"/>
    </w:pPr>
    <w:rPr>
      <w:sz w:val="16"/>
      <w:szCs w:val="16"/>
    </w:rPr>
  </w:style>
  <w:style w:type="paragraph" w:styleId="Xl68" w:customStyle="1">
    <w:name w:val="xl68"/>
    <w:basedOn w:val="Normal"/>
    <w:qFormat/>
    <w:pPr>
      <w:suppressAutoHyphens w:val="false"/>
      <w:spacing w:before="280" w:after="280"/>
      <w:jc w:val="right"/>
    </w:pPr>
    <w:rPr>
      <w:sz w:val="20"/>
      <w:szCs w:val="20"/>
    </w:rPr>
  </w:style>
  <w:style w:type="paragraph" w:styleId="Xl67" w:customStyle="1">
    <w:name w:val="xl67"/>
    <w:basedOn w:val="Normal"/>
    <w:qFormat/>
    <w:pPr>
      <w:pBdr>
        <w:bottom w:val="single" w:sz="4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66" w:customStyle="1">
    <w:name w:val="xl66"/>
    <w:basedOn w:val="Normal"/>
    <w:qFormat/>
    <w:pPr>
      <w:suppressAutoHyphens w:val="false"/>
      <w:spacing w:before="280" w:after="280"/>
    </w:pPr>
    <w:rPr>
      <w:sz w:val="16"/>
      <w:szCs w:val="16"/>
    </w:rPr>
  </w:style>
  <w:style w:type="paragraph" w:styleId="Xl65" w:customStyle="1">
    <w:name w:val="xl65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64" w:customStyle="1">
    <w:name w:val="xl64"/>
    <w:basedOn w:val="Normal"/>
    <w:qFormat/>
    <w:pPr>
      <w:suppressAutoHyphens w:val="false"/>
      <w:spacing w:before="280" w:after="280"/>
    </w:pPr>
    <w:rPr>
      <w:b/>
      <w:bCs/>
      <w:sz w:val="18"/>
      <w:szCs w:val="18"/>
    </w:rPr>
  </w:style>
  <w:style w:type="paragraph" w:styleId="Xl63" w:customStyle="1">
    <w:name w:val="xl63"/>
    <w:basedOn w:val="Normal"/>
    <w:qFormat/>
    <w:pPr>
      <w:suppressAutoHyphens w:val="false"/>
      <w:spacing w:before="280" w:after="280"/>
    </w:pPr>
    <w:rPr>
      <w:sz w:val="18"/>
      <w:szCs w:val="18"/>
    </w:rPr>
  </w:style>
  <w:style w:type="paragraph" w:styleId="Msonormal" w:customStyle="1">
    <w:name w:val="msonormal"/>
    <w:basedOn w:val="Normal"/>
    <w:qFormat/>
    <w:pPr>
      <w:suppressAutoHyphens w:val="false"/>
      <w:spacing w:before="280" w:after="280"/>
    </w:pPr>
    <w:rPr>
      <w:sz w:val="24"/>
      <w:szCs w:val="24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-1" w:customStyle="1">
    <w:name w:val="Контракт-подподпункт"/>
    <w:basedOn w:val="Normal"/>
    <w:qFormat/>
    <w:pPr>
      <w:numPr>
        <w:ilvl w:val="3"/>
        <w:numId w:val="3"/>
      </w:numPr>
    </w:pPr>
    <w:rPr/>
  </w:style>
  <w:style w:type="paragraph" w:styleId="-2" w:customStyle="1">
    <w:name w:val="Контракт-подпункт"/>
    <w:basedOn w:val="Normal"/>
    <w:qFormat/>
    <w:pPr>
      <w:numPr>
        <w:ilvl w:val="2"/>
        <w:numId w:val="3"/>
      </w:numPr>
    </w:pPr>
    <w:rPr/>
  </w:style>
  <w:style w:type="paragraph" w:styleId="-3" w:customStyle="1">
    <w:name w:val="Контракт-пункт"/>
    <w:basedOn w:val="Normal"/>
    <w:qFormat/>
    <w:pPr>
      <w:numPr>
        <w:ilvl w:val="1"/>
        <w:numId w:val="3"/>
      </w:numPr>
    </w:pPr>
    <w:rPr/>
  </w:style>
  <w:style w:type="paragraph" w:styleId="-4" w:customStyle="1">
    <w:name w:val="Контракт-раздел"/>
    <w:basedOn w:val="Normal"/>
    <w:qFormat/>
    <w:pPr>
      <w:keepNext w:val="true"/>
      <w:keepLines/>
      <w:numPr>
        <w:ilvl w:val="0"/>
        <w:numId w:val="3"/>
      </w:numPr>
      <w:tabs>
        <w:tab w:val="clear" w:pos="708"/>
        <w:tab w:val="left" w:pos="0" w:leader="none"/>
        <w:tab w:val="left" w:pos="567" w:leader="none"/>
      </w:tabs>
      <w:spacing w:before="360" w:after="120"/>
      <w:jc w:val="center"/>
      <w:textAlignment w:val="baseline"/>
      <w:outlineLvl w:val="1"/>
    </w:pPr>
    <w:rPr>
      <w:b/>
      <w:bCs/>
      <w:caps/>
    </w:rPr>
  </w:style>
  <w:style w:type="paragraph" w:styleId="114" w:customStyle="1">
    <w:name w:val="Знак1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3" w:customStyle="1">
    <w:name w:val="Пункт 3.3.3"/>
    <w:basedOn w:val="Normal"/>
    <w:qFormat/>
    <w:pPr>
      <w:keepNext w:val="true"/>
      <w:keepLines/>
      <w:widowControl w:val="false"/>
      <w:tabs>
        <w:tab w:val="clear" w:pos="708"/>
        <w:tab w:val="left" w:pos="920" w:leader="none"/>
      </w:tabs>
      <w:spacing w:before="240" w:after="240"/>
      <w:ind w:left="704" w:hanging="504"/>
      <w:textAlignment w:val="baseline"/>
      <w:outlineLvl w:val="1"/>
    </w:pPr>
    <w:rPr>
      <w:sz w:val="24"/>
      <w:szCs w:val="20"/>
    </w:rPr>
  </w:style>
  <w:style w:type="paragraph" w:styleId="115" w:customStyle="1">
    <w:name w:val="Заголовок1"/>
    <w:basedOn w:val="Normal"/>
    <w:qFormat/>
    <w:pPr>
      <w:widowControl w:val="false"/>
      <w:spacing w:before="0" w:after="120"/>
      <w:jc w:val="center"/>
      <w:textAlignment w:val="baseline"/>
    </w:pPr>
    <w:rPr>
      <w:b/>
      <w:bCs/>
      <w:sz w:val="32"/>
      <w:szCs w:val="20"/>
    </w:rPr>
  </w:style>
  <w:style w:type="paragraph" w:styleId="42" w:customStyle="1">
    <w:name w:val="4. Отчерк"/>
    <w:basedOn w:val="Normal"/>
    <w:qFormat/>
    <w:pPr>
      <w:widowControl w:val="false"/>
      <w:numPr>
        <w:ilvl w:val="0"/>
        <w:numId w:val="2"/>
      </w:numPr>
    </w:pPr>
    <w:rPr>
      <w:sz w:val="24"/>
      <w:szCs w:val="24"/>
      <w:lang w:val="x-none" w:eastAsia="x-none"/>
    </w:rPr>
  </w:style>
  <w:style w:type="paragraph" w:styleId="ConsNormal" w:customStyle="1">
    <w:name w:val="ConsNormal"/>
    <w:qFormat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ru-RU" w:eastAsia="en-US" w:bidi="ar-SA"/>
    </w:rPr>
  </w:style>
  <w:style w:type="paragraph" w:styleId="38" w:customStyle="1">
    <w:name w:val="3. Подпункт"/>
    <w:basedOn w:val="Heading3"/>
    <w:qFormat/>
    <w:pPr>
      <w:keepNext w:val="false"/>
      <w:widowControl w:val="false"/>
      <w:tabs>
        <w:tab w:val="left" w:pos="0" w:leader="none"/>
        <w:tab w:val="left" w:pos="1620" w:leader="none"/>
      </w:tabs>
      <w:suppressAutoHyphens w:val="false"/>
      <w:spacing w:before="0" w:after="0"/>
      <w:ind w:left="1224" w:hanging="504"/>
      <w:textAlignment w:val="baseline"/>
    </w:pPr>
    <w:rPr/>
  </w:style>
  <w:style w:type="paragraph" w:styleId="28" w:customStyle="1">
    <w:name w:val="2. Пункт"/>
    <w:basedOn w:val="Heading3"/>
    <w:qFormat/>
    <w:pPr>
      <w:keepNext w:val="false"/>
      <w:widowControl w:val="false"/>
      <w:numPr>
        <w:ilvl w:val="1"/>
        <w:numId w:val="1"/>
      </w:numPr>
      <w:suppressAutoHyphens w:val="false"/>
      <w:spacing w:before="0" w:after="0"/>
      <w:textAlignment w:val="baseline"/>
    </w:pPr>
    <w:rPr>
      <w:b w:val="false"/>
    </w:rPr>
  </w:style>
  <w:style w:type="paragraph" w:styleId="116" w:customStyle="1">
    <w:name w:val="1. Статья"/>
    <w:basedOn w:val="Heading3"/>
    <w:qFormat/>
    <w:pPr>
      <w:keepNext w:val="false"/>
      <w:widowControl w:val="false"/>
      <w:numPr>
        <w:ilvl w:val="0"/>
        <w:numId w:val="1"/>
      </w:numPr>
      <w:tabs>
        <w:tab w:val="left" w:pos="0" w:leader="none"/>
        <w:tab w:val="left" w:pos="2340" w:leader="none"/>
      </w:tabs>
      <w:suppressAutoHyphens w:val="false"/>
      <w:spacing w:before="0" w:after="0"/>
      <w:ind w:left="0" w:right="1462" w:hanging="0"/>
      <w:jc w:val="center"/>
      <w:textAlignment w:val="baseline"/>
    </w:pPr>
    <w:rPr>
      <w:b w:val="false"/>
    </w:rPr>
  </w:style>
  <w:style w:type="paragraph" w:styleId="Style42" w:customStyle="1">
    <w:name w:val="Подпункт договора"/>
    <w:basedOn w:val="Normal"/>
    <w:qFormat/>
    <w:pPr>
      <w:tabs>
        <w:tab w:val="clear" w:pos="708"/>
        <w:tab w:val="left" w:pos="360" w:leader="none"/>
      </w:tabs>
    </w:pPr>
    <w:rPr>
      <w:rFonts w:ascii="Arial" w:hAnsi="Arial"/>
      <w:sz w:val="20"/>
      <w:szCs w:val="20"/>
    </w:rPr>
  </w:style>
  <w:style w:type="paragraph" w:styleId="Style43" w:customStyle="1">
    <w:name w:val="Пункт договора"/>
    <w:basedOn w:val="Normal"/>
    <w:qFormat/>
    <w:pPr>
      <w:widowControl w:val="false"/>
    </w:pPr>
    <w:rPr>
      <w:rFonts w:ascii="Arial" w:hAnsi="Arial"/>
      <w:sz w:val="20"/>
      <w:szCs w:val="20"/>
    </w:rPr>
  </w:style>
  <w:style w:type="paragraph" w:styleId="29" w:customStyle="1">
    <w:name w:val="Знак2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44" w:customStyle="1">
    <w:name w:val="Знак Знак Знак Знак Знак 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110" w:customStyle="1">
    <w:name w:val="Style1"/>
    <w:basedOn w:val="Normal"/>
    <w:qFormat/>
    <w:pPr>
      <w:spacing w:before="240" w:after="0"/>
    </w:pPr>
    <w:rPr>
      <w:b/>
      <w:sz w:val="22"/>
      <w:szCs w:val="20"/>
    </w:rPr>
  </w:style>
  <w:style w:type="paragraph" w:styleId="Caption111" w:customStyle="1">
    <w:name w:val="caption111"/>
    <w:basedOn w:val="Normal"/>
    <w:next w:val="Normal"/>
    <w:qFormat/>
    <w:pPr>
      <w:widowControl w:val="false"/>
      <w:spacing w:before="120" w:after="120"/>
      <w:textAlignment w:val="baseline"/>
    </w:pPr>
    <w:rPr>
      <w:b/>
      <w:bCs/>
      <w:sz w:val="24"/>
      <w:szCs w:val="24"/>
    </w:rPr>
  </w:style>
  <w:style w:type="paragraph" w:styleId="Caption12" w:customStyle="1">
    <w:name w:val="caption12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45" w:customStyle="1">
    <w:name w:val="Заголовок таблицы"/>
    <w:basedOn w:val="Style41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7" w:customStyle="1">
    <w:name w:val="Стиль1"/>
    <w:uiPriority w:val="99"/>
    <w:qFormat/>
    <w:rsid w:val="00f001e4"/>
  </w:style>
  <w:style w:type="numbering" w:styleId="210" w:customStyle="1">
    <w:name w:val="Стиль2"/>
    <w:uiPriority w:val="99"/>
    <w:qFormat/>
    <w:rsid w:val="006629c9"/>
  </w:style>
  <w:style w:type="numbering" w:styleId="WW8Num1" w:customStyle="1">
    <w:name w:val="WW8Num1"/>
    <w:qFormat/>
  </w:style>
  <w:style w:type="numbering" w:styleId="118" w:customStyle="1">
    <w:name w:val="Нет списка1"/>
    <w:qFormat/>
  </w:style>
  <w:style w:type="numbering" w:styleId="WW8Num2">
    <w:name w:val="WW8Num2"/>
    <w:qFormat/>
  </w:style>
  <w:style w:type="numbering" w:styleId="WW8Num3">
    <w:name w:val="WW8Num3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f1">
    <w:name w:val="Table Grid"/>
    <w:basedOn w:val="a1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3">
    <w:name w:val="Сетка таблицы1"/>
    <w:basedOn w:val="a1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A732F-729F-4FD3-9C6F-6B17B0F0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Application>AlterOffice/3.3.1.3$Linux_X86_64 LibreOffice_project/90d829a0d92d6015ad4fa014ce4f460a7fe6c0ba</Application>
  <AppVersion>15.0000</AppVersion>
  <Pages>18</Pages>
  <Words>3270</Words>
  <Characters>24125</Characters>
  <CharactersWithSpaces>26854</CharactersWithSpaces>
  <Paragraphs>314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2024-05-08T00:45:00Z</dcterms:created>
  <dc:creator>Быстров Олег Геннадьевич</dc:creator>
  <dc:description/>
  <dc:language>ru-RU</dc:language>
  <cp:lastModifiedBy>kovrizhkina_ey</cp:lastModifiedBy>
  <cp:lastPrinted>2025-03-04T11:17:40Z</cp:lastPrinted>
  <dcterms:modified xsi:type="dcterms:W3CDTF">2025-03-05T14:16:20Z</dcterms:modified>
  <cp:revision>80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